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83EC7" w:rsidRDefault="00E959BB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#101-e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2003574</w:t>
      </w:r>
    </w:p>
    <w:p w:rsidR="00F83EC7" w:rsidRDefault="00E959BB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e-Meeting, May 25th – June 5th, 2020</w:t>
      </w:r>
    </w:p>
    <w:p w:rsidR="00F83EC7" w:rsidRDefault="00E959BB" w:rsidP="00921C7D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Remaining issues of synchronization</w:t>
      </w:r>
    </w:p>
    <w:p w:rsidR="00F83EC7" w:rsidRDefault="00E959BB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 xml:space="preserve">ZTE, </w:t>
      </w:r>
      <w:proofErr w:type="spellStart"/>
      <w:r>
        <w:rPr>
          <w:rFonts w:ascii="Arial" w:hAnsi="Arial"/>
          <w:b/>
          <w:sz w:val="22"/>
          <w:szCs w:val="22"/>
        </w:rPr>
        <w:t>Sanechips</w:t>
      </w:r>
      <w:proofErr w:type="spellEnd"/>
    </w:p>
    <w:p w:rsidR="00F83EC7" w:rsidRDefault="00E959BB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7.2.4.3</w:t>
      </w:r>
    </w:p>
    <w:p w:rsidR="00F83EC7" w:rsidRDefault="00E959BB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F83EC7" w:rsidRDefault="00E959BB">
      <w:pPr>
        <w:pStyle w:val="1"/>
        <w:spacing w:before="120" w:after="120"/>
        <w:ind w:left="0"/>
        <w:rPr>
          <w:rFonts w:eastAsia="宋体"/>
        </w:rPr>
      </w:pPr>
      <w:bookmarkStart w:id="0" w:name="_Ref30590"/>
      <w:bookmarkStart w:id="1" w:name="_Toc5602"/>
      <w:r>
        <w:rPr>
          <w:rFonts w:eastAsia="宋体" w:hint="eastAsia"/>
        </w:rPr>
        <w:t>Introduction</w:t>
      </w:r>
      <w:bookmarkEnd w:id="0"/>
      <w:bookmarkEnd w:id="1"/>
    </w:p>
    <w:p w:rsidR="00F83EC7" w:rsidRDefault="00E959BB">
      <w:pPr>
        <w:spacing w:before="120" w:after="120"/>
        <w:jc w:val="left"/>
        <w:rPr>
          <w:sz w:val="20"/>
          <w:szCs w:val="22"/>
        </w:rPr>
      </w:pPr>
      <w:r>
        <w:rPr>
          <w:rFonts w:hint="eastAsia"/>
          <w:sz w:val="20"/>
          <w:szCs w:val="22"/>
        </w:rPr>
        <w:t>At RAN1 #99 meeting, the following working assumption and agreements were reached [1].</w:t>
      </w:r>
    </w:p>
    <w:p w:rsidR="00F83EC7" w:rsidRDefault="00E959BB">
      <w:pPr>
        <w:pStyle w:val="a5"/>
        <w:spacing w:before="120"/>
        <w:rPr>
          <w:bCs/>
          <w:iCs/>
          <w:sz w:val="20"/>
        </w:rPr>
      </w:pPr>
      <w:r>
        <w:rPr>
          <w:bCs/>
          <w:iCs/>
          <w:sz w:val="20"/>
          <w:highlight w:val="green"/>
        </w:rPr>
        <w:t>Agreements</w:t>
      </w:r>
      <w:r>
        <w:rPr>
          <w:bCs/>
          <w:iCs/>
          <w:sz w:val="20"/>
        </w:rPr>
        <w:t>:</w:t>
      </w:r>
    </w:p>
    <w:p w:rsidR="00F83EC7" w:rsidRDefault="00E959BB" w:rsidP="00F83EC7">
      <w:pPr>
        <w:pStyle w:val="a5"/>
        <w:numPr>
          <w:ilvl w:val="0"/>
          <w:numId w:val="6"/>
        </w:numPr>
        <w:spacing w:before="120" w:line="264" w:lineRule="auto"/>
        <w:ind w:left="726" w:hanging="363"/>
        <w:rPr>
          <w:sz w:val="20"/>
        </w:rPr>
      </w:pPr>
      <w:r>
        <w:rPr>
          <w:bCs/>
          <w:iCs/>
          <w:sz w:val="20"/>
        </w:rPr>
        <w:t>Note: “green” already earlier; “blue” new agreements, “brown” working assumption, “change marks” for updates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701"/>
        <w:gridCol w:w="4536"/>
      </w:tblGrid>
      <w:tr w:rsidR="00F83EC7">
        <w:tc>
          <w:tcPr>
            <w:tcW w:w="2835" w:type="dxa"/>
            <w:shd w:val="clear" w:color="auto" w:fill="8EAADB"/>
          </w:tcPr>
          <w:p w:rsidR="00F83EC7" w:rsidRDefault="00E959BB">
            <w:pPr>
              <w:spacing w:before="120" w:after="120"/>
              <w:jc w:val="center"/>
              <w:rPr>
                <w:rFonts w:eastAsia="等线"/>
                <w:b/>
                <w:color w:val="FFFFFF"/>
                <w:sz w:val="20"/>
              </w:rPr>
            </w:pPr>
            <w:r>
              <w:rPr>
                <w:rFonts w:eastAsia="等线" w:hint="eastAsia"/>
                <w:b/>
                <w:color w:val="FFFFFF"/>
                <w:sz w:val="20"/>
              </w:rPr>
              <w:t>PSBCH contents</w:t>
            </w:r>
          </w:p>
        </w:tc>
        <w:tc>
          <w:tcPr>
            <w:tcW w:w="1701" w:type="dxa"/>
            <w:shd w:val="clear" w:color="auto" w:fill="8EAADB"/>
          </w:tcPr>
          <w:p w:rsidR="00F83EC7" w:rsidRDefault="00E959BB">
            <w:pPr>
              <w:spacing w:before="120" w:after="120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Number of bits</w:t>
            </w:r>
          </w:p>
        </w:tc>
        <w:tc>
          <w:tcPr>
            <w:tcW w:w="4536" w:type="dxa"/>
            <w:shd w:val="clear" w:color="auto" w:fill="8EAADB"/>
          </w:tcPr>
          <w:p w:rsidR="00F83EC7" w:rsidRDefault="00E959BB">
            <w:pPr>
              <w:spacing w:before="120" w:after="120"/>
              <w:jc w:val="center"/>
              <w:rPr>
                <w:rFonts w:eastAsia="等线"/>
                <w:b/>
                <w:color w:val="FFFFFF"/>
                <w:sz w:val="20"/>
              </w:rPr>
            </w:pPr>
            <w:r>
              <w:rPr>
                <w:rFonts w:eastAsia="等线" w:hint="eastAsia"/>
                <w:b/>
                <w:color w:val="FFFFFF"/>
                <w:sz w:val="20"/>
              </w:rPr>
              <w:t>Notes</w:t>
            </w:r>
          </w:p>
        </w:tc>
      </w:tr>
      <w:tr w:rsidR="00F83EC7">
        <w:tc>
          <w:tcPr>
            <w:tcW w:w="2835" w:type="dxa"/>
          </w:tcPr>
          <w:p w:rsidR="00F83EC7" w:rsidRDefault="00E959BB">
            <w:pPr>
              <w:spacing w:before="120" w:after="120"/>
              <w:jc w:val="center"/>
              <w:rPr>
                <w:rFonts w:eastAsia="等线"/>
                <w:sz w:val="20"/>
              </w:rPr>
            </w:pPr>
            <w:r>
              <w:rPr>
                <w:rFonts w:eastAsia="等线" w:hint="eastAsia"/>
                <w:sz w:val="20"/>
                <w:highlight w:val="green"/>
              </w:rPr>
              <w:t>DFN</w:t>
            </w:r>
          </w:p>
        </w:tc>
        <w:tc>
          <w:tcPr>
            <w:tcW w:w="1701" w:type="dxa"/>
          </w:tcPr>
          <w:p w:rsidR="00F83EC7" w:rsidRDefault="00E959BB">
            <w:pPr>
              <w:spacing w:before="120" w:after="120"/>
              <w:jc w:val="center"/>
              <w:rPr>
                <w:rFonts w:eastAsia="等线"/>
                <w:sz w:val="20"/>
              </w:rPr>
            </w:pPr>
            <w:r>
              <w:rPr>
                <w:rFonts w:eastAsia="等线" w:hint="eastAsia"/>
                <w:sz w:val="20"/>
                <w:highlight w:val="cyan"/>
              </w:rPr>
              <w:t>10</w:t>
            </w:r>
          </w:p>
        </w:tc>
        <w:tc>
          <w:tcPr>
            <w:tcW w:w="4536" w:type="dxa"/>
          </w:tcPr>
          <w:p w:rsidR="00F83EC7" w:rsidRDefault="00F83EC7">
            <w:pPr>
              <w:spacing w:before="120" w:after="120"/>
              <w:rPr>
                <w:rFonts w:eastAsia="等线"/>
                <w:sz w:val="20"/>
              </w:rPr>
            </w:pPr>
          </w:p>
        </w:tc>
      </w:tr>
      <w:tr w:rsidR="00F83EC7">
        <w:tc>
          <w:tcPr>
            <w:tcW w:w="2835" w:type="dxa"/>
          </w:tcPr>
          <w:p w:rsidR="00F83EC7" w:rsidRDefault="00E959BB">
            <w:pPr>
              <w:spacing w:before="120" w:after="120"/>
              <w:jc w:val="center"/>
              <w:rPr>
                <w:rFonts w:eastAsia="等线"/>
                <w:sz w:val="20"/>
                <w:highlight w:val="green"/>
              </w:rPr>
            </w:pPr>
            <w:r>
              <w:rPr>
                <w:rFonts w:eastAsia="等线"/>
                <w:sz w:val="20"/>
                <w:highlight w:val="green"/>
              </w:rPr>
              <w:t>I</w:t>
            </w:r>
            <w:r>
              <w:rPr>
                <w:rFonts w:eastAsia="等线" w:hint="eastAsia"/>
                <w:sz w:val="20"/>
                <w:highlight w:val="green"/>
              </w:rPr>
              <w:t xml:space="preserve">ndication </w:t>
            </w:r>
            <w:r>
              <w:rPr>
                <w:rFonts w:eastAsia="等线"/>
                <w:sz w:val="20"/>
                <w:highlight w:val="green"/>
              </w:rPr>
              <w:t>of TDD configuration</w:t>
            </w:r>
          </w:p>
        </w:tc>
        <w:tc>
          <w:tcPr>
            <w:tcW w:w="1701" w:type="dxa"/>
          </w:tcPr>
          <w:p w:rsidR="00F83EC7" w:rsidRDefault="00E959BB">
            <w:pPr>
              <w:spacing w:before="120" w:after="120"/>
              <w:jc w:val="center"/>
              <w:rPr>
                <w:rFonts w:eastAsia="等线"/>
                <w:sz w:val="20"/>
                <w:highlight w:val="green"/>
              </w:rPr>
            </w:pPr>
            <w:r>
              <w:rPr>
                <w:rFonts w:eastAsia="等线"/>
                <w:sz w:val="20"/>
                <w:highlight w:val="darkYellow"/>
              </w:rPr>
              <w:t>12</w:t>
            </w:r>
            <w:r>
              <w:rPr>
                <w:rFonts w:eastAsia="等线" w:hint="eastAsia"/>
                <w:sz w:val="20"/>
                <w:highlight w:val="darkYellow"/>
              </w:rPr>
              <w:t xml:space="preserve"> </w:t>
            </w:r>
          </w:p>
        </w:tc>
        <w:tc>
          <w:tcPr>
            <w:tcW w:w="4536" w:type="dxa"/>
          </w:tcPr>
          <w:p w:rsidR="00F83EC7" w:rsidRDefault="00E959BB">
            <w:pPr>
              <w:spacing w:before="120" w:after="120"/>
              <w:rPr>
                <w:rFonts w:eastAsia="等线"/>
                <w:sz w:val="20"/>
                <w:highlight w:val="green"/>
              </w:rPr>
            </w:pPr>
            <w:r>
              <w:rPr>
                <w:rFonts w:eastAsia="等线"/>
                <w:sz w:val="20"/>
                <w:highlight w:val="green"/>
              </w:rPr>
              <w:t>S</w:t>
            </w:r>
            <w:r>
              <w:rPr>
                <w:rFonts w:eastAsia="等线" w:hint="eastAsia"/>
                <w:sz w:val="20"/>
                <w:highlight w:val="green"/>
              </w:rPr>
              <w:t>ystem-wide information, e.g. TDD-UL-DL common configuration</w:t>
            </w:r>
            <w:r>
              <w:rPr>
                <w:rFonts w:eastAsia="等线"/>
                <w:sz w:val="20"/>
                <w:highlight w:val="green"/>
              </w:rPr>
              <w:t xml:space="preserve"> and/or </w:t>
            </w:r>
            <w:r>
              <w:rPr>
                <w:rFonts w:eastAsia="等线" w:hint="eastAsia"/>
                <w:sz w:val="20"/>
                <w:highlight w:val="green"/>
              </w:rPr>
              <w:t>potential SL slots</w:t>
            </w:r>
          </w:p>
        </w:tc>
      </w:tr>
      <w:tr w:rsidR="00F83EC7">
        <w:tc>
          <w:tcPr>
            <w:tcW w:w="2835" w:type="dxa"/>
          </w:tcPr>
          <w:p w:rsidR="00F83EC7" w:rsidRDefault="00E959BB">
            <w:pPr>
              <w:spacing w:before="120" w:after="120"/>
              <w:jc w:val="center"/>
              <w:rPr>
                <w:rFonts w:eastAsia="等线"/>
                <w:sz w:val="20"/>
                <w:highlight w:val="darkYellow"/>
              </w:rPr>
            </w:pPr>
            <w:r>
              <w:rPr>
                <w:rFonts w:eastAsia="等线"/>
                <w:sz w:val="20"/>
                <w:highlight w:val="darkYellow"/>
              </w:rPr>
              <w:t xml:space="preserve">Slot </w:t>
            </w:r>
            <w:r>
              <w:rPr>
                <w:rFonts w:eastAsia="等线" w:hint="eastAsia"/>
                <w:sz w:val="20"/>
                <w:highlight w:val="darkYellow"/>
              </w:rPr>
              <w:t>index</w:t>
            </w:r>
          </w:p>
        </w:tc>
        <w:tc>
          <w:tcPr>
            <w:tcW w:w="1701" w:type="dxa"/>
          </w:tcPr>
          <w:p w:rsidR="00F83EC7" w:rsidRDefault="00E959BB">
            <w:pPr>
              <w:spacing w:before="120" w:after="120"/>
              <w:jc w:val="center"/>
              <w:rPr>
                <w:rFonts w:eastAsia="等线"/>
                <w:sz w:val="20"/>
                <w:highlight w:val="darkYellow"/>
              </w:rPr>
            </w:pPr>
            <w:r>
              <w:rPr>
                <w:rFonts w:eastAsia="等线"/>
                <w:sz w:val="20"/>
                <w:highlight w:val="darkYellow"/>
              </w:rPr>
              <w:t>7</w:t>
            </w:r>
          </w:p>
        </w:tc>
        <w:tc>
          <w:tcPr>
            <w:tcW w:w="4536" w:type="dxa"/>
          </w:tcPr>
          <w:p w:rsidR="00F83EC7" w:rsidRDefault="00E959BB">
            <w:pPr>
              <w:spacing w:before="120" w:after="120"/>
              <w:rPr>
                <w:rFonts w:eastAsia="等线"/>
                <w:strike/>
                <w:color w:val="FF0000"/>
                <w:sz w:val="20"/>
              </w:rPr>
            </w:pPr>
            <w:r>
              <w:rPr>
                <w:rFonts w:eastAsia="等线"/>
                <w:strike/>
                <w:color w:val="FF0000"/>
                <w:sz w:val="20"/>
              </w:rPr>
              <w:t>N</w:t>
            </w:r>
            <w:r>
              <w:rPr>
                <w:rFonts w:eastAsia="等线" w:hint="eastAsia"/>
                <w:strike/>
                <w:color w:val="FF0000"/>
                <w:sz w:val="20"/>
              </w:rPr>
              <w:t>ote: Up to 3 bits can be carried in DM-RS or in PBCH payload.</w:t>
            </w:r>
          </w:p>
        </w:tc>
      </w:tr>
      <w:tr w:rsidR="00F83EC7">
        <w:tc>
          <w:tcPr>
            <w:tcW w:w="2835" w:type="dxa"/>
          </w:tcPr>
          <w:p w:rsidR="00F83EC7" w:rsidRDefault="00E959BB">
            <w:pPr>
              <w:spacing w:before="120" w:after="120"/>
              <w:jc w:val="center"/>
              <w:rPr>
                <w:rFonts w:eastAsia="等线"/>
                <w:sz w:val="20"/>
                <w:highlight w:val="green"/>
              </w:rPr>
            </w:pPr>
            <w:r>
              <w:rPr>
                <w:rFonts w:eastAsia="等线"/>
                <w:sz w:val="20"/>
                <w:highlight w:val="green"/>
              </w:rPr>
              <w:t>I</w:t>
            </w:r>
            <w:r>
              <w:rPr>
                <w:rFonts w:eastAsia="等线" w:hint="eastAsia"/>
                <w:sz w:val="20"/>
                <w:highlight w:val="green"/>
              </w:rPr>
              <w:t>n-coverage indicator</w:t>
            </w:r>
          </w:p>
        </w:tc>
        <w:tc>
          <w:tcPr>
            <w:tcW w:w="1701" w:type="dxa"/>
          </w:tcPr>
          <w:p w:rsidR="00F83EC7" w:rsidRDefault="00E959BB">
            <w:pPr>
              <w:spacing w:before="120" w:after="120"/>
              <w:jc w:val="center"/>
              <w:rPr>
                <w:rFonts w:eastAsia="等线"/>
                <w:sz w:val="20"/>
                <w:highlight w:val="green"/>
              </w:rPr>
            </w:pPr>
            <w:r>
              <w:rPr>
                <w:rFonts w:eastAsia="等线" w:hint="eastAsia"/>
                <w:sz w:val="20"/>
                <w:highlight w:val="green"/>
              </w:rPr>
              <w:t>1</w:t>
            </w:r>
          </w:p>
        </w:tc>
        <w:tc>
          <w:tcPr>
            <w:tcW w:w="4536" w:type="dxa"/>
          </w:tcPr>
          <w:p w:rsidR="00F83EC7" w:rsidRDefault="00F83EC7">
            <w:pPr>
              <w:spacing w:before="120" w:after="120"/>
              <w:rPr>
                <w:rFonts w:eastAsia="等线"/>
                <w:sz w:val="20"/>
                <w:highlight w:val="green"/>
              </w:rPr>
            </w:pPr>
          </w:p>
        </w:tc>
      </w:tr>
      <w:tr w:rsidR="00F83EC7">
        <w:tc>
          <w:tcPr>
            <w:tcW w:w="2835" w:type="dxa"/>
          </w:tcPr>
          <w:p w:rsidR="00F83EC7" w:rsidRDefault="00E959BB">
            <w:pPr>
              <w:spacing w:before="120" w:after="120"/>
              <w:jc w:val="center"/>
              <w:rPr>
                <w:rFonts w:eastAsia="等线"/>
                <w:sz w:val="20"/>
                <w:highlight w:val="yellow"/>
              </w:rPr>
            </w:pPr>
            <w:r>
              <w:rPr>
                <w:rFonts w:eastAsia="等线"/>
                <w:sz w:val="20"/>
                <w:highlight w:val="cyan"/>
              </w:rPr>
              <w:t>R</w:t>
            </w:r>
            <w:r>
              <w:rPr>
                <w:rFonts w:eastAsia="等线" w:hint="eastAsia"/>
                <w:sz w:val="20"/>
                <w:highlight w:val="cyan"/>
              </w:rPr>
              <w:t>eserve bits</w:t>
            </w:r>
          </w:p>
        </w:tc>
        <w:tc>
          <w:tcPr>
            <w:tcW w:w="1701" w:type="dxa"/>
          </w:tcPr>
          <w:p w:rsidR="00F83EC7" w:rsidRDefault="00F83EC7">
            <w:pPr>
              <w:spacing w:before="120" w:after="120"/>
              <w:jc w:val="center"/>
              <w:rPr>
                <w:rFonts w:eastAsia="等线"/>
                <w:sz w:val="20"/>
                <w:highlight w:val="yellow"/>
              </w:rPr>
            </w:pPr>
          </w:p>
        </w:tc>
        <w:tc>
          <w:tcPr>
            <w:tcW w:w="4536" w:type="dxa"/>
          </w:tcPr>
          <w:p w:rsidR="00F83EC7" w:rsidRDefault="00F83EC7">
            <w:pPr>
              <w:spacing w:before="120" w:after="120"/>
              <w:rPr>
                <w:sz w:val="20"/>
                <w:highlight w:val="yellow"/>
              </w:rPr>
            </w:pPr>
          </w:p>
        </w:tc>
      </w:tr>
      <w:tr w:rsidR="00F83EC7">
        <w:tc>
          <w:tcPr>
            <w:tcW w:w="2835" w:type="dxa"/>
          </w:tcPr>
          <w:p w:rsidR="00F83EC7" w:rsidRDefault="00E959BB">
            <w:pPr>
              <w:spacing w:before="120" w:after="120"/>
              <w:jc w:val="center"/>
              <w:rPr>
                <w:sz w:val="20"/>
                <w:highlight w:val="green"/>
              </w:rPr>
            </w:pPr>
            <w:r>
              <w:rPr>
                <w:rFonts w:hint="eastAsia"/>
                <w:sz w:val="20"/>
                <w:highlight w:val="green"/>
              </w:rPr>
              <w:t>CRC</w:t>
            </w:r>
          </w:p>
        </w:tc>
        <w:tc>
          <w:tcPr>
            <w:tcW w:w="1701" w:type="dxa"/>
          </w:tcPr>
          <w:p w:rsidR="00F83EC7" w:rsidRDefault="00E959BB">
            <w:pPr>
              <w:spacing w:before="120" w:after="120"/>
              <w:jc w:val="center"/>
              <w:rPr>
                <w:sz w:val="20"/>
                <w:highlight w:val="green"/>
              </w:rPr>
            </w:pPr>
            <w:r>
              <w:rPr>
                <w:rFonts w:hint="eastAsia"/>
                <w:sz w:val="20"/>
                <w:highlight w:val="green"/>
              </w:rPr>
              <w:t>24</w:t>
            </w:r>
          </w:p>
        </w:tc>
        <w:tc>
          <w:tcPr>
            <w:tcW w:w="4536" w:type="dxa"/>
          </w:tcPr>
          <w:p w:rsidR="00F83EC7" w:rsidRDefault="00F83EC7">
            <w:pPr>
              <w:spacing w:before="120" w:after="120"/>
              <w:rPr>
                <w:sz w:val="20"/>
              </w:rPr>
            </w:pPr>
          </w:p>
        </w:tc>
      </w:tr>
      <w:tr w:rsidR="00F83EC7">
        <w:tc>
          <w:tcPr>
            <w:tcW w:w="2835" w:type="dxa"/>
          </w:tcPr>
          <w:p w:rsidR="00F83EC7" w:rsidRDefault="00E959BB">
            <w:pPr>
              <w:spacing w:before="120" w:after="120"/>
              <w:jc w:val="center"/>
              <w:rPr>
                <w:rFonts w:eastAsia="等线"/>
                <w:sz w:val="20"/>
              </w:rPr>
            </w:pPr>
            <w:r>
              <w:rPr>
                <w:rFonts w:hint="eastAsia"/>
                <w:sz w:val="20"/>
              </w:rPr>
              <w:t>Total bit</w:t>
            </w:r>
            <w:r>
              <w:rPr>
                <w:rFonts w:eastAsia="等线" w:hint="eastAsia"/>
                <w:sz w:val="20"/>
              </w:rPr>
              <w:t>s</w:t>
            </w:r>
          </w:p>
        </w:tc>
        <w:tc>
          <w:tcPr>
            <w:tcW w:w="1701" w:type="dxa"/>
          </w:tcPr>
          <w:p w:rsidR="00F83EC7" w:rsidRDefault="00E959BB">
            <w:pPr>
              <w:spacing w:before="120" w:after="120"/>
              <w:jc w:val="center"/>
              <w:rPr>
                <w:rFonts w:eastAsia="等线"/>
                <w:sz w:val="20"/>
              </w:rPr>
            </w:pPr>
            <w:r>
              <w:rPr>
                <w:rFonts w:eastAsia="等线" w:hint="eastAsia"/>
                <w:sz w:val="20"/>
                <w:highlight w:val="darkYellow"/>
              </w:rPr>
              <w:t>56</w:t>
            </w:r>
          </w:p>
        </w:tc>
        <w:tc>
          <w:tcPr>
            <w:tcW w:w="4536" w:type="dxa"/>
          </w:tcPr>
          <w:p w:rsidR="00F83EC7" w:rsidRDefault="00F83EC7">
            <w:pPr>
              <w:spacing w:before="120" w:after="120"/>
              <w:rPr>
                <w:rFonts w:eastAsia="等线"/>
                <w:sz w:val="20"/>
              </w:rPr>
            </w:pPr>
          </w:p>
        </w:tc>
      </w:tr>
    </w:tbl>
    <w:p w:rsidR="00F83EC7" w:rsidRDefault="00E959BB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At RAN #100b-e meeting, the following agreement was reached [2]. </w:t>
      </w:r>
    </w:p>
    <w:p w:rsidR="00F83EC7" w:rsidRDefault="00E959BB">
      <w:pPr>
        <w:spacing w:before="120" w:after="120"/>
        <w:rPr>
          <w:sz w:val="20"/>
          <w:highlight w:val="green"/>
        </w:rPr>
      </w:pPr>
      <w:r>
        <w:rPr>
          <w:sz w:val="20"/>
          <w:highlight w:val="green"/>
        </w:rPr>
        <w:t>Agreements:</w:t>
      </w:r>
    </w:p>
    <w:p w:rsidR="00F83EC7" w:rsidRPr="00F83EC7" w:rsidRDefault="00F83EC7" w:rsidP="00921C7D">
      <w:pPr>
        <w:pStyle w:val="af2"/>
        <w:numPr>
          <w:ilvl w:val="0"/>
          <w:numId w:val="7"/>
        </w:numPr>
        <w:spacing w:beforeLines="50" w:after="120" w:line="264" w:lineRule="auto"/>
        <w:ind w:hanging="363"/>
        <w:rPr>
          <w:i/>
          <w:iCs/>
          <w:sz w:val="20"/>
          <w:szCs w:val="20"/>
        </w:rPr>
      </w:pPr>
      <w:r w:rsidRPr="00F83EC7">
        <w:rPr>
          <w:i/>
          <w:iCs/>
          <w:sz w:val="20"/>
          <w:szCs w:val="20"/>
        </w:rPr>
        <w:t>For indication of TDD configuration:</w:t>
      </w:r>
    </w:p>
    <w:p w:rsidR="00F83EC7" w:rsidRPr="00F83EC7" w:rsidRDefault="00F83EC7" w:rsidP="00921C7D">
      <w:pPr>
        <w:pStyle w:val="af2"/>
        <w:numPr>
          <w:ilvl w:val="0"/>
          <w:numId w:val="8"/>
        </w:numPr>
        <w:spacing w:beforeLines="50" w:after="120" w:line="264" w:lineRule="auto"/>
        <w:ind w:hanging="363"/>
        <w:rPr>
          <w:i/>
          <w:iCs/>
          <w:sz w:val="20"/>
          <w:szCs w:val="20"/>
        </w:rPr>
      </w:pPr>
      <w:r w:rsidRPr="00F83EC7">
        <w:rPr>
          <w:i/>
          <w:iCs/>
          <w:sz w:val="20"/>
          <w:szCs w:val="20"/>
        </w:rPr>
        <w:t>X=1 bit indicates the number of patterns</w:t>
      </w:r>
    </w:p>
    <w:p w:rsidR="00F83EC7" w:rsidRPr="00F83EC7" w:rsidRDefault="00F83EC7" w:rsidP="00921C7D">
      <w:pPr>
        <w:pStyle w:val="af2"/>
        <w:numPr>
          <w:ilvl w:val="1"/>
          <w:numId w:val="8"/>
        </w:numPr>
        <w:spacing w:beforeLines="50" w:after="120" w:line="264" w:lineRule="auto"/>
        <w:ind w:hanging="363"/>
        <w:rPr>
          <w:i/>
          <w:iCs/>
          <w:sz w:val="20"/>
          <w:szCs w:val="20"/>
        </w:rPr>
      </w:pPr>
      <w:r w:rsidRPr="00F83EC7">
        <w:rPr>
          <w:i/>
          <w:iCs/>
          <w:sz w:val="20"/>
          <w:szCs w:val="20"/>
        </w:rPr>
        <w:t>Value 0 indicates one pattern is used.</w:t>
      </w:r>
    </w:p>
    <w:p w:rsidR="00F83EC7" w:rsidRPr="00F83EC7" w:rsidRDefault="00F83EC7" w:rsidP="00921C7D">
      <w:pPr>
        <w:pStyle w:val="af2"/>
        <w:numPr>
          <w:ilvl w:val="1"/>
          <w:numId w:val="8"/>
        </w:numPr>
        <w:spacing w:beforeLines="50" w:after="120" w:line="264" w:lineRule="auto"/>
        <w:ind w:hanging="363"/>
        <w:rPr>
          <w:i/>
          <w:iCs/>
          <w:sz w:val="20"/>
          <w:szCs w:val="20"/>
        </w:rPr>
      </w:pPr>
      <w:r w:rsidRPr="00F83EC7">
        <w:rPr>
          <w:i/>
          <w:iCs/>
          <w:sz w:val="20"/>
          <w:szCs w:val="20"/>
        </w:rPr>
        <w:t>Value 1 indicates two patterns are used.</w:t>
      </w:r>
    </w:p>
    <w:p w:rsidR="00F83EC7" w:rsidRPr="00F83EC7" w:rsidRDefault="00F83EC7" w:rsidP="00921C7D">
      <w:pPr>
        <w:pStyle w:val="af2"/>
        <w:numPr>
          <w:ilvl w:val="0"/>
          <w:numId w:val="8"/>
        </w:numPr>
        <w:spacing w:beforeLines="50" w:after="120" w:line="264" w:lineRule="auto"/>
        <w:ind w:hanging="363"/>
        <w:rPr>
          <w:i/>
          <w:iCs/>
          <w:sz w:val="20"/>
          <w:szCs w:val="20"/>
        </w:rPr>
      </w:pPr>
      <w:r w:rsidRPr="00F83EC7">
        <w:rPr>
          <w:i/>
          <w:iCs/>
          <w:sz w:val="20"/>
          <w:szCs w:val="20"/>
        </w:rPr>
        <w:t>Y=4 bits indicate the periodicity information</w:t>
      </w:r>
    </w:p>
    <w:p w:rsidR="00F83EC7" w:rsidRPr="00F83EC7" w:rsidRDefault="00F83EC7" w:rsidP="00921C7D">
      <w:pPr>
        <w:pStyle w:val="af2"/>
        <w:numPr>
          <w:ilvl w:val="1"/>
          <w:numId w:val="8"/>
        </w:numPr>
        <w:spacing w:beforeLines="50" w:after="120" w:line="264" w:lineRule="auto"/>
        <w:ind w:hanging="363"/>
        <w:rPr>
          <w:i/>
          <w:iCs/>
          <w:sz w:val="20"/>
          <w:szCs w:val="20"/>
        </w:rPr>
      </w:pPr>
      <w:r w:rsidRPr="00F83EC7">
        <w:rPr>
          <w:i/>
          <w:iCs/>
          <w:sz w:val="20"/>
          <w:szCs w:val="20"/>
        </w:rPr>
        <w:t>When one pattern is used, Y indicates the periodicity of the pattern.</w:t>
      </w:r>
    </w:p>
    <w:p w:rsidR="00F83EC7" w:rsidRPr="00F83EC7" w:rsidRDefault="00F83EC7" w:rsidP="00921C7D">
      <w:pPr>
        <w:pStyle w:val="af2"/>
        <w:numPr>
          <w:ilvl w:val="1"/>
          <w:numId w:val="8"/>
        </w:numPr>
        <w:spacing w:beforeLines="50" w:after="120" w:line="264" w:lineRule="auto"/>
        <w:ind w:hanging="363"/>
        <w:rPr>
          <w:i/>
          <w:iCs/>
          <w:sz w:val="20"/>
          <w:szCs w:val="20"/>
        </w:rPr>
      </w:pPr>
      <w:r w:rsidRPr="00F83EC7">
        <w:rPr>
          <w:i/>
          <w:iCs/>
          <w:sz w:val="20"/>
          <w:szCs w:val="20"/>
        </w:rPr>
        <w:t>When two patterns are used, Y jointly indicates the periodicities of the two patterns.</w:t>
      </w:r>
    </w:p>
    <w:p w:rsidR="00F83EC7" w:rsidRPr="00F83EC7" w:rsidRDefault="00F83EC7" w:rsidP="00921C7D">
      <w:pPr>
        <w:pStyle w:val="af2"/>
        <w:numPr>
          <w:ilvl w:val="0"/>
          <w:numId w:val="8"/>
        </w:numPr>
        <w:spacing w:beforeLines="50" w:after="120" w:line="264" w:lineRule="auto"/>
        <w:ind w:hanging="363"/>
        <w:rPr>
          <w:i/>
          <w:iCs/>
          <w:sz w:val="20"/>
          <w:szCs w:val="20"/>
        </w:rPr>
      </w:pPr>
      <w:r w:rsidRPr="00F83EC7">
        <w:rPr>
          <w:i/>
          <w:iCs/>
          <w:sz w:val="20"/>
          <w:szCs w:val="20"/>
        </w:rPr>
        <w:t>Z=7 bits indicate the UL slots</w:t>
      </w:r>
    </w:p>
    <w:p w:rsidR="00F83EC7" w:rsidRPr="00F83EC7" w:rsidRDefault="00F83EC7" w:rsidP="00921C7D">
      <w:pPr>
        <w:pStyle w:val="af2"/>
        <w:numPr>
          <w:ilvl w:val="1"/>
          <w:numId w:val="8"/>
        </w:numPr>
        <w:spacing w:beforeLines="50" w:after="120" w:line="264" w:lineRule="auto"/>
        <w:ind w:hanging="363"/>
        <w:rPr>
          <w:i/>
          <w:iCs/>
          <w:sz w:val="20"/>
          <w:szCs w:val="20"/>
        </w:rPr>
      </w:pPr>
      <w:r w:rsidRPr="00F83EC7">
        <w:rPr>
          <w:i/>
          <w:iCs/>
          <w:sz w:val="20"/>
          <w:szCs w:val="20"/>
        </w:rPr>
        <w:t>UL slots are jointly indicated by 7 bits when two patterns are configured.</w:t>
      </w:r>
    </w:p>
    <w:p w:rsidR="00F83EC7" w:rsidRPr="00F83EC7" w:rsidRDefault="00F83EC7" w:rsidP="00921C7D">
      <w:pPr>
        <w:pStyle w:val="af2"/>
        <w:numPr>
          <w:ilvl w:val="1"/>
          <w:numId w:val="8"/>
        </w:numPr>
        <w:spacing w:beforeLines="50" w:after="120" w:line="264" w:lineRule="auto"/>
        <w:ind w:hanging="363"/>
        <w:rPr>
          <w:i/>
          <w:iCs/>
          <w:sz w:val="20"/>
          <w:szCs w:val="20"/>
        </w:rPr>
      </w:pPr>
      <w:r w:rsidRPr="00F83EC7">
        <w:rPr>
          <w:i/>
          <w:iCs/>
          <w:sz w:val="20"/>
          <w:szCs w:val="20"/>
        </w:rPr>
        <w:t>FFS other details.</w:t>
      </w:r>
    </w:p>
    <w:p w:rsidR="00F83EC7" w:rsidRDefault="00F83EC7">
      <w:pPr>
        <w:spacing w:before="120" w:after="120"/>
        <w:rPr>
          <w:sz w:val="20"/>
        </w:rPr>
      </w:pPr>
    </w:p>
    <w:p w:rsidR="00F83EC7" w:rsidRDefault="00E959BB" w:rsidP="00F83EC7">
      <w:pPr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In this </w:t>
      </w:r>
      <w:r>
        <w:rPr>
          <w:sz w:val="20"/>
        </w:rPr>
        <w:t xml:space="preserve">contribution, we further discuss </w:t>
      </w:r>
      <w:bookmarkStart w:id="2" w:name="OLE_LINK5"/>
      <w:r>
        <w:rPr>
          <w:rFonts w:hint="eastAsia"/>
          <w:sz w:val="20"/>
        </w:rPr>
        <w:t>the remaining issues of NR V2X synchronization</w:t>
      </w:r>
      <w:r>
        <w:rPr>
          <w:sz w:val="20"/>
        </w:rPr>
        <w:t>.</w:t>
      </w:r>
      <w:bookmarkEnd w:id="2"/>
    </w:p>
    <w:p w:rsidR="00F83EC7" w:rsidRDefault="00E959BB">
      <w:pPr>
        <w:pStyle w:val="1"/>
        <w:spacing w:before="120" w:after="120"/>
        <w:ind w:left="0"/>
      </w:pPr>
      <w:bookmarkStart w:id="3" w:name="_Toc10347"/>
      <w:r>
        <w:rPr>
          <w:rFonts w:hint="eastAsia"/>
        </w:rPr>
        <w:t>Discussion</w:t>
      </w:r>
      <w:r>
        <w:t>s</w:t>
      </w:r>
      <w:bookmarkEnd w:id="3"/>
      <w:r>
        <w:rPr>
          <w:rFonts w:hint="eastAsia"/>
        </w:rPr>
        <w:t xml:space="preserve"> </w:t>
      </w:r>
    </w:p>
    <w:p w:rsidR="00F83EC7" w:rsidRDefault="00E959BB">
      <w:pPr>
        <w:pStyle w:val="2"/>
        <w:adjustRightInd w:val="0"/>
        <w:snapToGrid w:val="0"/>
        <w:spacing w:before="120" w:after="120" w:line="260" w:lineRule="auto"/>
        <w:ind w:left="991" w:right="210" w:hangingChars="354" w:hanging="991"/>
      </w:pPr>
      <w:bookmarkStart w:id="4" w:name="_Toc23345"/>
      <w:r>
        <w:rPr>
          <w:rFonts w:hint="eastAsia"/>
          <w:szCs w:val="22"/>
        </w:rPr>
        <w:t xml:space="preserve">PSBCH </w:t>
      </w:r>
      <w:r>
        <w:rPr>
          <w:rFonts w:eastAsia="宋体" w:hint="eastAsia"/>
          <w:szCs w:val="22"/>
        </w:rPr>
        <w:t>content</w:t>
      </w:r>
      <w:bookmarkEnd w:id="4"/>
      <w:r>
        <w:rPr>
          <w:rFonts w:hint="eastAsia"/>
          <w:szCs w:val="22"/>
        </w:rPr>
        <w:t xml:space="preserve">  </w:t>
      </w:r>
    </w:p>
    <w:p w:rsidR="00F83EC7" w:rsidRDefault="00E959BB">
      <w:pPr>
        <w:numPr>
          <w:ilvl w:val="0"/>
          <w:numId w:val="9"/>
        </w:numPr>
        <w:snapToGrid w:val="0"/>
        <w:spacing w:before="120" w:after="120" w:line="260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Slot index within a frame </w:t>
      </w:r>
    </w:p>
    <w:p w:rsidR="00F83EC7" w:rsidRDefault="00E959BB" w:rsidP="00F83EC7">
      <w:pPr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It was agreed that slot-level indication is supported for TDD configuration. On the other hand, since DFN is agreed to be indicated in PSBCH. It is natural to indicate slot index within a frame. In this way, other timing information indication, e.g., </w:t>
      </w:r>
      <w:proofErr w:type="spellStart"/>
      <w:r>
        <w:rPr>
          <w:rFonts w:hint="eastAsia"/>
          <w:sz w:val="20"/>
        </w:rPr>
        <w:t>subframe</w:t>
      </w:r>
      <w:proofErr w:type="spellEnd"/>
      <w:r>
        <w:rPr>
          <w:rFonts w:hint="eastAsia"/>
          <w:sz w:val="20"/>
        </w:rPr>
        <w:t xml:space="preserve">, can be avoided so that indication overhead is reduced. </w:t>
      </w:r>
      <w:r>
        <w:rPr>
          <w:sz w:val="20"/>
        </w:rPr>
        <w:t>T</w:t>
      </w:r>
      <w:r>
        <w:rPr>
          <w:rFonts w:hint="eastAsia"/>
          <w:sz w:val="20"/>
        </w:rPr>
        <w:t>he large</w:t>
      </w:r>
      <w:r>
        <w:rPr>
          <w:sz w:val="20"/>
        </w:rPr>
        <w:t>st</w:t>
      </w:r>
      <w:r>
        <w:rPr>
          <w:rFonts w:hint="eastAsia"/>
          <w:sz w:val="20"/>
        </w:rPr>
        <w:t xml:space="preserve"> SCS supported for S-SSB transmission in Rel-16 5G V2X is 120 kHz, </w:t>
      </w:r>
      <w:r>
        <w:rPr>
          <w:sz w:val="20"/>
        </w:rPr>
        <w:t xml:space="preserve">and </w:t>
      </w:r>
      <w:r>
        <w:rPr>
          <w:rFonts w:hint="eastAsia"/>
          <w:sz w:val="20"/>
        </w:rPr>
        <w:t xml:space="preserve">at most 80 slots are included within a frame. So 7 bits are enough to indicate slot index within a frame. Given this and the 12bits agreed for TDD configuration indication, the total bits of PSBCH payload </w:t>
      </w:r>
      <w:r w:rsidR="00062587">
        <w:rPr>
          <w:rFonts w:hint="eastAsia"/>
          <w:sz w:val="20"/>
        </w:rPr>
        <w:t>are</w:t>
      </w:r>
      <w:r>
        <w:rPr>
          <w:rFonts w:hint="eastAsia"/>
          <w:sz w:val="20"/>
        </w:rPr>
        <w:t xml:space="preserve"> 56bits.</w:t>
      </w:r>
    </w:p>
    <w:p w:rsidR="00F83EC7" w:rsidRDefault="00E959BB">
      <w:pPr>
        <w:pStyle w:val="YJ-Proposal"/>
        <w:adjustRightInd w:val="0"/>
        <w:spacing w:beforeLines="0" w:afterLines="0"/>
        <w:rPr>
          <w:rFonts w:eastAsia="宋体"/>
          <w:szCs w:val="22"/>
          <w:lang w:val="en-US" w:eastAsia="zh-CN"/>
        </w:rPr>
      </w:pPr>
      <w:bookmarkStart w:id="5" w:name="_Toc25939"/>
      <w:bookmarkStart w:id="6" w:name="_Toc24092"/>
      <w:bookmarkStart w:id="7" w:name="_Toc28394"/>
      <w:r>
        <w:rPr>
          <w:rFonts w:eastAsia="宋体" w:hint="eastAsia"/>
          <w:szCs w:val="22"/>
          <w:lang w:val="en-US" w:eastAsia="zh-CN"/>
        </w:rPr>
        <w:t xml:space="preserve">Confirm </w:t>
      </w:r>
      <w:r>
        <w:rPr>
          <w:rFonts w:eastAsia="宋体"/>
          <w:szCs w:val="22"/>
          <w:lang w:val="en-US" w:eastAsia="zh-CN"/>
        </w:rPr>
        <w:t xml:space="preserve">the working assumption </w:t>
      </w:r>
      <w:r>
        <w:rPr>
          <w:rFonts w:eastAsia="宋体" w:hint="eastAsia"/>
          <w:szCs w:val="22"/>
          <w:lang w:val="en-US" w:eastAsia="zh-CN"/>
        </w:rPr>
        <w:t>that slot index within a frame</w:t>
      </w:r>
      <w:r>
        <w:rPr>
          <w:rFonts w:eastAsia="宋体"/>
          <w:szCs w:val="22"/>
          <w:lang w:val="en-US" w:eastAsia="zh-CN"/>
        </w:rPr>
        <w:t xml:space="preserve"> is indicated</w:t>
      </w:r>
      <w:r>
        <w:rPr>
          <w:rFonts w:eastAsia="宋体" w:hint="eastAsia"/>
          <w:szCs w:val="22"/>
          <w:lang w:val="en-US" w:eastAsia="zh-CN"/>
        </w:rPr>
        <w:t xml:space="preserve"> by 7 bits</w:t>
      </w:r>
      <w:bookmarkEnd w:id="5"/>
      <w:bookmarkEnd w:id="6"/>
      <w:r>
        <w:rPr>
          <w:rFonts w:eastAsia="宋体" w:hint="eastAsia"/>
          <w:szCs w:val="22"/>
          <w:lang w:val="en-US" w:eastAsia="zh-CN"/>
        </w:rPr>
        <w:t xml:space="preserve"> and the total bits of PSBCH payload </w:t>
      </w:r>
      <w:r w:rsidR="00062587">
        <w:rPr>
          <w:rFonts w:eastAsia="宋体" w:hint="eastAsia"/>
          <w:szCs w:val="22"/>
          <w:lang w:val="en-US" w:eastAsia="zh-CN"/>
        </w:rPr>
        <w:t>are</w:t>
      </w:r>
      <w:r>
        <w:rPr>
          <w:rFonts w:eastAsia="宋体" w:hint="eastAsia"/>
          <w:szCs w:val="22"/>
          <w:lang w:val="en-US" w:eastAsia="zh-CN"/>
        </w:rPr>
        <w:t xml:space="preserve"> 56bits.</w:t>
      </w:r>
      <w:bookmarkEnd w:id="7"/>
    </w:p>
    <w:p w:rsidR="00F83EC7" w:rsidRDefault="00F83EC7">
      <w:pPr>
        <w:spacing w:before="120" w:after="120" w:line="22" w:lineRule="atLeast"/>
        <w:rPr>
          <w:sz w:val="20"/>
        </w:rPr>
      </w:pPr>
    </w:p>
    <w:p w:rsidR="00F83EC7" w:rsidRDefault="00E959BB">
      <w:pPr>
        <w:numPr>
          <w:ilvl w:val="0"/>
          <w:numId w:val="9"/>
        </w:numPr>
        <w:snapToGrid w:val="0"/>
        <w:spacing w:before="120" w:after="120" w:line="260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TDD configuration</w:t>
      </w:r>
    </w:p>
    <w:p w:rsidR="00F83EC7" w:rsidRDefault="00E959BB" w:rsidP="00F83EC7">
      <w:pPr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For TDD configuration indication, it was agreed at the last meeting that 1,4,7 bits are used to indicate the number of patterns, the periodicity information and the potential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slots respectively. The remaining issue which needs to be solved is how to indicate the potential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slots jointly by 7 bits when dual pattern is configured. </w:t>
      </w:r>
    </w:p>
    <w:p w:rsidR="00F83EC7" w:rsidRDefault="00E959BB" w:rsidP="00F83EC7">
      <w:pPr>
        <w:spacing w:before="120" w:after="120" w:line="264" w:lineRule="auto"/>
      </w:pPr>
      <w:r>
        <w:rPr>
          <w:sz w:val="20"/>
        </w:rPr>
        <w:t>In case</w:t>
      </w:r>
      <w:r>
        <w:rPr>
          <w:rFonts w:hint="eastAsia"/>
          <w:sz w:val="20"/>
        </w:rPr>
        <w:t xml:space="preserve"> that dual</w:t>
      </w:r>
      <w:r>
        <w:rPr>
          <w:sz w:val="20"/>
        </w:rPr>
        <w:t xml:space="preserve"> pattern</w:t>
      </w:r>
      <w:r>
        <w:rPr>
          <w:rFonts w:hint="eastAsia"/>
          <w:sz w:val="20"/>
        </w:rPr>
        <w:t xml:space="preserve"> is</w:t>
      </w:r>
      <w:r>
        <w:rPr>
          <w:sz w:val="20"/>
        </w:rPr>
        <w:t xml:space="preserve"> configured,</w:t>
      </w:r>
      <w:r>
        <w:rPr>
          <w:color w:val="000000" w:themeColor="text1"/>
          <w:sz w:val="20"/>
        </w:rPr>
        <w:t xml:space="preserve"> </w:t>
      </w:r>
      <w:r>
        <w:rPr>
          <w:rFonts w:hint="eastAsia"/>
          <w:color w:val="000000" w:themeColor="text1"/>
          <w:sz w:val="20"/>
        </w:rPr>
        <w:t>t</w:t>
      </w:r>
      <w:r>
        <w:rPr>
          <w:color w:val="000000" w:themeColor="text1"/>
          <w:sz w:val="20"/>
        </w:rPr>
        <w:t>he</w:t>
      </w:r>
      <w:r>
        <w:rPr>
          <w:rFonts w:hint="eastAsia"/>
          <w:color w:val="000000" w:themeColor="text1"/>
          <w:sz w:val="20"/>
        </w:rPr>
        <w:t xml:space="preserve"> duplet of </w:t>
      </w:r>
      <w:r>
        <w:rPr>
          <w:color w:val="000000" w:themeColor="text1"/>
          <w:sz w:val="20"/>
        </w:rPr>
        <w:t>slot number</w:t>
      </w:r>
      <w:r>
        <w:rPr>
          <w:rFonts w:hint="eastAsia"/>
          <w:color w:val="000000" w:themeColor="text1"/>
          <w:sz w:val="20"/>
        </w:rPr>
        <w:t>s within each period under</w:t>
      </w:r>
      <w:r>
        <w:rPr>
          <w:color w:val="000000" w:themeColor="text1"/>
          <w:sz w:val="20"/>
        </w:rPr>
        <w:t xml:space="preserve"> varying SL SCS are listed in </w:t>
      </w:r>
      <w:r>
        <w:rPr>
          <w:rFonts w:hint="eastAsia"/>
          <w:color w:val="000000" w:themeColor="text1"/>
          <w:sz w:val="20"/>
        </w:rPr>
        <w:t xml:space="preserve">Table A in </w:t>
      </w:r>
      <w:r>
        <w:rPr>
          <w:color w:val="000000" w:themeColor="text1"/>
          <w:sz w:val="20"/>
        </w:rPr>
        <w:t>appendix.</w:t>
      </w:r>
      <w:r>
        <w:rPr>
          <w:rFonts w:hint="eastAsia"/>
          <w:color w:val="000000" w:themeColor="text1"/>
          <w:sz w:val="20"/>
        </w:rPr>
        <w:t xml:space="preserve"> Denote the number of slots within the two periodicities as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</w:rPr>
              <m:t>s,1</m:t>
            </m:r>
          </m:sub>
        </m:sSub>
      </m:oMath>
      <w:r>
        <w:rPr>
          <w:rFonts w:hint="eastAsia"/>
          <w:color w:val="000000" w:themeColor="text1"/>
          <w:sz w:val="20"/>
          <w:vertAlign w:val="subscript"/>
        </w:rPr>
        <w:t xml:space="preserve"> </w:t>
      </w:r>
      <w:r>
        <w:rPr>
          <w:rFonts w:hint="eastAsia"/>
          <w:sz w:val="20"/>
        </w:rPr>
        <w:t>and</w:t>
      </w:r>
      <w:r>
        <w:rPr>
          <w:rFonts w:hint="eastAsia"/>
          <w:i/>
          <w:color w:val="000000" w:themeColor="text1"/>
          <w:sz w:val="2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</w:rPr>
              <m:t>s,2</m:t>
            </m:r>
          </m:sub>
        </m:sSub>
      </m:oMath>
      <w:r>
        <w:rPr>
          <w:rFonts w:hint="eastAsia"/>
          <w:color w:val="000000" w:themeColor="text1"/>
          <w:sz w:val="20"/>
          <w:vertAlign w:val="subscript"/>
        </w:rPr>
        <w:t xml:space="preserve"> </w:t>
      </w:r>
      <w:r>
        <w:rPr>
          <w:rFonts w:hint="eastAsia"/>
          <w:sz w:val="20"/>
        </w:rPr>
        <w:t>respectively, the range of {1,2,...,N</w:t>
      </w:r>
      <w:r>
        <w:rPr>
          <w:rFonts w:hint="eastAsia"/>
          <w:sz w:val="20"/>
          <w:vertAlign w:val="subscript"/>
        </w:rPr>
        <w:t>s,1</w:t>
      </w:r>
      <w:r>
        <w:rPr>
          <w:rFonts w:hint="eastAsia"/>
          <w:sz w:val="20"/>
        </w:rPr>
        <w:t>} and {0,2,...,N</w:t>
      </w:r>
      <w:r>
        <w:rPr>
          <w:rFonts w:hint="eastAsia"/>
          <w:sz w:val="20"/>
          <w:vertAlign w:val="subscript"/>
        </w:rPr>
        <w:t>s,2</w:t>
      </w:r>
      <w:r>
        <w:rPr>
          <w:rFonts w:hint="eastAsia"/>
          <w:sz w:val="20"/>
        </w:rPr>
        <w:t>-1} UL</w:t>
      </w:r>
      <w:r>
        <w:rPr>
          <w:rFonts w:hint="eastAsia"/>
          <w:sz w:val="20"/>
          <w:vertAlign w:val="subscript"/>
        </w:rPr>
        <w:t xml:space="preserve"> </w:t>
      </w:r>
      <w:r>
        <w:rPr>
          <w:rFonts w:hint="eastAsia"/>
          <w:sz w:val="20"/>
        </w:rPr>
        <w:t>slots needs to be indicated out of the following reasons,</w:t>
      </w:r>
    </w:p>
    <w:p w:rsidR="00C914E3" w:rsidRPr="00C914E3" w:rsidRDefault="00E959BB" w:rsidP="00F83EC7">
      <w:pPr>
        <w:pStyle w:val="a4"/>
        <w:numPr>
          <w:ilvl w:val="0"/>
          <w:numId w:val="10"/>
        </w:numPr>
        <w:spacing w:before="120" w:after="120" w:line="264" w:lineRule="auto"/>
        <w:rPr>
          <w:sz w:val="20"/>
        </w:rPr>
      </w:pPr>
      <w:r w:rsidRPr="00C914E3">
        <w:rPr>
          <w:rFonts w:hint="eastAsia"/>
          <w:sz w:val="20"/>
        </w:rPr>
        <w:t>At least 1 downlink/flexible slot should be reserved for SSB transmission</w:t>
      </w:r>
    </w:p>
    <w:p w:rsidR="00F83EC7" w:rsidRPr="00C914E3" w:rsidRDefault="00E959BB" w:rsidP="00F83EC7">
      <w:pPr>
        <w:pStyle w:val="a4"/>
        <w:numPr>
          <w:ilvl w:val="0"/>
          <w:numId w:val="10"/>
        </w:numPr>
        <w:spacing w:before="120" w:after="120" w:line="264" w:lineRule="auto"/>
        <w:rPr>
          <w:sz w:val="20"/>
        </w:rPr>
      </w:pPr>
      <w:r w:rsidRPr="00C914E3">
        <w:rPr>
          <w:rFonts w:hint="eastAsia"/>
          <w:sz w:val="20"/>
        </w:rPr>
        <w:t>If 0 UL slot is configured</w:t>
      </w:r>
      <w:r w:rsidR="00F9546F">
        <w:rPr>
          <w:rFonts w:hint="eastAsia"/>
          <w:strike/>
          <w:sz w:val="20"/>
        </w:rPr>
        <w:t xml:space="preserve"> </w:t>
      </w:r>
      <w:r w:rsidRPr="00C914E3">
        <w:rPr>
          <w:rFonts w:hint="eastAsia"/>
          <w:sz w:val="20"/>
        </w:rPr>
        <w:t xml:space="preserve">in pattern 1, </w:t>
      </w:r>
      <w:r>
        <w:rPr>
          <w:rFonts w:hint="eastAsia"/>
        </w:rPr>
        <w:t>or if all UL slots are configured in pattern 2,</w:t>
      </w:r>
      <w:r w:rsidRPr="00C914E3">
        <w:rPr>
          <w:rFonts w:hint="eastAsia"/>
          <w:sz w:val="20"/>
        </w:rPr>
        <w:t xml:space="preserve"> single pattern could be configured instead</w:t>
      </w:r>
      <w:r w:rsidR="00F83EC7" w:rsidRPr="00C914E3">
        <w:rPr>
          <w:sz w:val="20"/>
        </w:rPr>
        <w:t xml:space="preserve"> in </w:t>
      </w:r>
      <w:r w:rsidRPr="00C914E3">
        <w:rPr>
          <w:rFonts w:hint="eastAsia"/>
          <w:sz w:val="20"/>
        </w:rPr>
        <w:t>most cases.</w:t>
      </w:r>
    </w:p>
    <w:p w:rsidR="00F83EC7" w:rsidRDefault="00E959BB" w:rsidP="00F83EC7">
      <w:pPr>
        <w:pStyle w:val="a4"/>
        <w:numPr>
          <w:ilvl w:val="0"/>
          <w:numId w:val="10"/>
        </w:numPr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At least 1 uplink slot should be reserved for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>.</w:t>
      </w:r>
    </w:p>
    <w:p w:rsidR="00F83EC7" w:rsidRDefault="00E959BB" w:rsidP="00F83EC7">
      <w:pPr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Thus the total number of combinations that should be indicated is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</w:rPr>
              <m:t>s,1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0"/>
          </w:rPr>
          <m:t>×</m:t>
        </m:r>
        <m:sSub>
          <m:sSubPr>
            <m:ctrlPr>
              <w:rPr>
                <w:rFonts w:ascii="Cambria Math" w:hAnsi="Cambria Math"/>
                <w:color w:val="000000" w:themeColor="text1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</w:rPr>
              <m:t>s,2</m:t>
            </m:r>
          </m:sub>
        </m:sSub>
      </m:oMath>
      <w:r>
        <w:rPr>
          <w:rFonts w:hint="eastAsia"/>
          <w:color w:val="000000" w:themeColor="text1"/>
          <w:sz w:val="20"/>
        </w:rPr>
        <w:t xml:space="preserve">. </w:t>
      </w:r>
      <w:r>
        <w:rPr>
          <w:sz w:val="20"/>
        </w:rPr>
        <w:t>It can be seen that the number of combinations t</w:t>
      </w:r>
      <w:r>
        <w:rPr>
          <w:rFonts w:hint="eastAsia"/>
          <w:sz w:val="20"/>
        </w:rPr>
        <w:t>hat is required to</w:t>
      </w:r>
      <w:r>
        <w:rPr>
          <w:sz w:val="20"/>
        </w:rPr>
        <w:t xml:space="preserve"> be indicated would exceed the indication range of 7 bits (i.e., 128) in 13 cases.</w:t>
      </w:r>
      <w:r>
        <w:rPr>
          <w:rFonts w:hint="eastAsia"/>
          <w:sz w:val="20"/>
        </w:rPr>
        <w:t xml:space="preserve"> </w:t>
      </w:r>
    </w:p>
    <w:p w:rsidR="00F83EC7" w:rsidRDefault="00E959BB" w:rsidP="00F83EC7">
      <w:pPr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t xml:space="preserve">In order to cover the number of combinations using 7 bits, indication based on scaled </w:t>
      </w:r>
      <w:r>
        <w:rPr>
          <w:rFonts w:hint="eastAsia"/>
          <w:sz w:val="20"/>
          <w:szCs w:val="22"/>
        </w:rPr>
        <w:t>granularity of more than 1 slot is feasible. This approach could be interpreted alternatively as indication based on an appropriate reference SCS</w:t>
      </w:r>
      <w:r>
        <w:rPr>
          <w:rFonts w:hint="eastAsia"/>
          <w:sz w:val="20"/>
        </w:rPr>
        <w:t xml:space="preserve"> (i.e., </w:t>
      </w:r>
      <w:proofErr w:type="spellStart"/>
      <w:r>
        <w:rPr>
          <w:rFonts w:hint="eastAsia"/>
          <w:sz w:val="20"/>
        </w:rPr>
        <w:t>RefSCS</w:t>
      </w:r>
      <w:proofErr w:type="spellEnd"/>
      <w:r>
        <w:rPr>
          <w:rFonts w:hint="eastAsia"/>
          <w:sz w:val="20"/>
        </w:rPr>
        <w:t>) determined according to the following formula.</w:t>
      </w:r>
    </w:p>
    <w:p w:rsidR="00F83EC7" w:rsidRDefault="00E959BB" w:rsidP="00F83EC7">
      <w:pPr>
        <w:spacing w:before="120" w:after="120" w:line="264" w:lineRule="auto"/>
        <w:jc w:val="center"/>
        <w:rPr>
          <w:sz w:val="20"/>
        </w:rPr>
      </w:pPr>
      <w:proofErr w:type="spellStart"/>
      <w:r>
        <w:rPr>
          <w:rFonts w:hint="eastAsia"/>
          <w:sz w:val="20"/>
        </w:rPr>
        <w:t>RefSCS</w:t>
      </w:r>
      <w:proofErr w:type="spellEnd"/>
      <w:r>
        <w:rPr>
          <w:rFonts w:hint="eastAsia"/>
          <w:sz w:val="20"/>
        </w:rPr>
        <w:t xml:space="preserve"> = min(SL SCS, maximal supportable SCS with at most 7 bits)</w:t>
      </w:r>
    </w:p>
    <w:p w:rsidR="00F83EC7" w:rsidRDefault="00E959BB" w:rsidP="00F83EC7">
      <w:pPr>
        <w:spacing w:before="120" w:after="120" w:line="264" w:lineRule="auto"/>
        <w:rPr>
          <w:color w:val="000000" w:themeColor="text1"/>
          <w:sz w:val="20"/>
        </w:rPr>
      </w:pPr>
      <w:r>
        <w:rPr>
          <w:rFonts w:hint="eastAsia"/>
          <w:sz w:val="20"/>
        </w:rPr>
        <w:t xml:space="preserve">wherein maximal supportable SCS with at most 7 bits means a SCS based on which at most 7 bits can indicate the all potential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slot combinations </w:t>
      </w:r>
      <w:r>
        <w:rPr>
          <w:rFonts w:hint="eastAsia"/>
          <w:color w:val="000000" w:themeColor="text1"/>
          <w:sz w:val="20"/>
        </w:rPr>
        <w:t>of two patterns.</w:t>
      </w:r>
    </w:p>
    <w:p w:rsidR="00F83EC7" w:rsidRDefault="00E959BB" w:rsidP="00F83EC7">
      <w:pPr>
        <w:spacing w:before="120" w:after="120" w:line="264" w:lineRule="auto"/>
        <w:rPr>
          <w:sz w:val="20"/>
          <w:szCs w:val="22"/>
        </w:rPr>
      </w:pPr>
      <w:r>
        <w:rPr>
          <w:rFonts w:hint="eastAsia"/>
          <w:sz w:val="20"/>
        </w:rPr>
        <w:t xml:space="preserve">For example, </w:t>
      </w:r>
      <w:r>
        <w:rPr>
          <w:rFonts w:hint="eastAsia"/>
          <w:sz w:val="20"/>
          <w:szCs w:val="22"/>
        </w:rPr>
        <w:t xml:space="preserve">when two patterns are configured with P1 (period of pattern1 ) = 3 and P2 (period of pattern2 ) = 1 with 120 kHz SL SCS. The number of slot in each pattern is 24 and </w:t>
      </w:r>
      <w:r>
        <w:rPr>
          <w:sz w:val="20"/>
          <w:szCs w:val="22"/>
        </w:rPr>
        <w:t>8</w:t>
      </w:r>
      <w:r>
        <w:rPr>
          <w:rFonts w:hint="eastAsia"/>
          <w:sz w:val="20"/>
          <w:szCs w:val="22"/>
        </w:rPr>
        <w:t xml:space="preserve"> respectively. Consequently, the number of combinations of the potential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 slots in two patterns is 192, which is larger than 128 (the range 7 bit can support). If the slots in two patterns are indicated based on </w:t>
      </w:r>
      <w:proofErr w:type="spellStart"/>
      <w:r>
        <w:rPr>
          <w:rFonts w:hint="eastAsia"/>
          <w:sz w:val="20"/>
        </w:rPr>
        <w:t>RefSCS</w:t>
      </w:r>
      <w:proofErr w:type="spellEnd"/>
      <w:r>
        <w:rPr>
          <w:rFonts w:hint="eastAsia"/>
          <w:sz w:val="20"/>
          <w:szCs w:val="22"/>
        </w:rPr>
        <w:t xml:space="preserve"> (60 kHz), one indicated slot include actually two slots based on SL SCS (120 kHz). Thus, the numbers of slots measured by </w:t>
      </w:r>
      <w:proofErr w:type="spellStart"/>
      <w:r>
        <w:rPr>
          <w:rFonts w:hint="eastAsia"/>
          <w:sz w:val="20"/>
        </w:rPr>
        <w:t>Ref</w:t>
      </w:r>
      <w:r>
        <w:rPr>
          <w:rFonts w:hint="eastAsia"/>
          <w:sz w:val="20"/>
          <w:szCs w:val="22"/>
        </w:rPr>
        <w:t>SCS</w:t>
      </w:r>
      <w:proofErr w:type="spellEnd"/>
      <w:r>
        <w:rPr>
          <w:rFonts w:hint="eastAsia"/>
          <w:sz w:val="20"/>
          <w:szCs w:val="22"/>
        </w:rPr>
        <w:t xml:space="preserve"> within two patterns will be 12 and 4 respectively. The number of combinations of the potential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 slots is 48, which is less than 128. Thus 6 bits are enough to indicate the potential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 slots in this case. </w:t>
      </w:r>
    </w:p>
    <w:p w:rsidR="00F83EC7" w:rsidRDefault="00E959BB" w:rsidP="00F83EC7">
      <w:pPr>
        <w:spacing w:before="120" w:after="120" w:line="264" w:lineRule="auto"/>
        <w:rPr>
          <w:color w:val="000000" w:themeColor="text1"/>
          <w:sz w:val="20"/>
        </w:rPr>
      </w:pPr>
      <w:r>
        <w:rPr>
          <w:rFonts w:hint="eastAsia"/>
          <w:sz w:val="20"/>
          <w:szCs w:val="22"/>
        </w:rPr>
        <w:lastRenderedPageBreak/>
        <w:t xml:space="preserve">It can be seen from Table B </w:t>
      </w:r>
      <w:r>
        <w:rPr>
          <w:rFonts w:hint="eastAsia"/>
          <w:color w:val="000000" w:themeColor="text1"/>
          <w:sz w:val="20"/>
        </w:rPr>
        <w:t xml:space="preserve">in </w:t>
      </w:r>
      <w:r>
        <w:rPr>
          <w:color w:val="000000" w:themeColor="text1"/>
          <w:sz w:val="20"/>
        </w:rPr>
        <w:t>appendix</w:t>
      </w:r>
      <w:r>
        <w:rPr>
          <w:rFonts w:hint="eastAsia"/>
          <w:color w:val="000000" w:themeColor="text1"/>
          <w:sz w:val="20"/>
        </w:rPr>
        <w:t xml:space="preserve">, out of the 13 cases which need to be indicated based on </w:t>
      </w:r>
      <w:proofErr w:type="spellStart"/>
      <w:r>
        <w:rPr>
          <w:rFonts w:hint="eastAsia"/>
          <w:sz w:val="20"/>
        </w:rPr>
        <w:t>Ref</w:t>
      </w:r>
      <w:r>
        <w:rPr>
          <w:rFonts w:hint="eastAsia"/>
          <w:color w:val="000000" w:themeColor="text1"/>
          <w:sz w:val="20"/>
        </w:rPr>
        <w:t>SCS</w:t>
      </w:r>
      <w:proofErr w:type="spellEnd"/>
      <w:r>
        <w:rPr>
          <w:rFonts w:hint="eastAsia"/>
          <w:color w:val="000000" w:themeColor="text1"/>
          <w:sz w:val="20"/>
        </w:rPr>
        <w:t xml:space="preserve">, there are 5 cases which only 6 bits are used to present potential </w:t>
      </w:r>
      <w:proofErr w:type="spellStart"/>
      <w:r>
        <w:rPr>
          <w:rFonts w:hint="eastAsia"/>
          <w:color w:val="000000" w:themeColor="text1"/>
          <w:sz w:val="20"/>
        </w:rPr>
        <w:t>sidelink</w:t>
      </w:r>
      <w:proofErr w:type="spellEnd"/>
      <w:r>
        <w:rPr>
          <w:rFonts w:hint="eastAsia"/>
          <w:color w:val="000000" w:themeColor="text1"/>
          <w:sz w:val="20"/>
        </w:rPr>
        <w:t xml:space="preserve"> slot with </w:t>
      </w:r>
      <w:proofErr w:type="spellStart"/>
      <w:r>
        <w:rPr>
          <w:rFonts w:hint="eastAsia"/>
          <w:color w:val="000000" w:themeColor="text1"/>
          <w:sz w:val="20"/>
        </w:rPr>
        <w:t>RefSCS</w:t>
      </w:r>
      <w:proofErr w:type="spellEnd"/>
      <w:r>
        <w:rPr>
          <w:rFonts w:hint="eastAsia"/>
          <w:color w:val="000000" w:themeColor="text1"/>
          <w:sz w:val="20"/>
        </w:rPr>
        <w:t xml:space="preserve"> in two patterns and one bit remains</w:t>
      </w:r>
      <w:r w:rsidR="000A63FB">
        <w:rPr>
          <w:rFonts w:hint="eastAsia"/>
          <w:strike/>
          <w:color w:val="000000" w:themeColor="text1"/>
          <w:sz w:val="20"/>
        </w:rPr>
        <w:t xml:space="preserve"> </w:t>
      </w:r>
      <w:r w:rsidR="000A63FB" w:rsidRPr="000A63FB">
        <w:rPr>
          <w:rFonts w:hint="eastAsia"/>
          <w:color w:val="000000" w:themeColor="text1"/>
          <w:sz w:val="20"/>
        </w:rPr>
        <w:t>unused</w:t>
      </w:r>
      <w:r w:rsidR="000A63FB">
        <w:rPr>
          <w:rFonts w:hint="eastAsia"/>
          <w:color w:val="000000" w:themeColor="text1"/>
          <w:sz w:val="20"/>
        </w:rPr>
        <w:t>.</w:t>
      </w:r>
      <w:r>
        <w:rPr>
          <w:rFonts w:hint="eastAsia"/>
          <w:color w:val="000000" w:themeColor="text1"/>
          <w:sz w:val="20"/>
        </w:rPr>
        <w:t xml:space="preserve"> In order to utilize the indication bit more effectively, it is sensible to use the remaining bit to indicate potential </w:t>
      </w:r>
      <w:proofErr w:type="spellStart"/>
      <w:r>
        <w:rPr>
          <w:rFonts w:hint="eastAsia"/>
          <w:color w:val="000000" w:themeColor="text1"/>
          <w:sz w:val="20"/>
        </w:rPr>
        <w:t>sidelink</w:t>
      </w:r>
      <w:proofErr w:type="spellEnd"/>
      <w:r>
        <w:rPr>
          <w:rFonts w:hint="eastAsia"/>
          <w:color w:val="000000" w:themeColor="text1"/>
          <w:sz w:val="20"/>
        </w:rPr>
        <w:t xml:space="preserve"> slot further in these 5 cases. </w:t>
      </w:r>
    </w:p>
    <w:p w:rsidR="00F83EC7" w:rsidRDefault="00E959BB" w:rsidP="00F83EC7">
      <w:pPr>
        <w:spacing w:before="120" w:after="120" w:line="264" w:lineRule="auto"/>
        <w:rPr>
          <w:color w:val="000000" w:themeColor="text1"/>
          <w:sz w:val="20"/>
        </w:rPr>
      </w:pPr>
      <w:r>
        <w:rPr>
          <w:rFonts w:hint="eastAsia"/>
          <w:color w:val="000000" w:themeColor="text1"/>
          <w:sz w:val="20"/>
        </w:rPr>
        <w:t>As illustrated in Figure 1, in the case</w:t>
      </w:r>
      <w:bookmarkStart w:id="8" w:name="_GoBack"/>
      <w:r>
        <w:rPr>
          <w:rFonts w:hint="eastAsia"/>
          <w:color w:val="000000" w:themeColor="text1"/>
          <w:sz w:val="20"/>
        </w:rPr>
        <w:t xml:space="preserve"> mentioned above, if 7 UL slots are configured in pattern1 and 5 UL slots are configured in pattern2 based on SL SCS=120 kHz. After scaling based on </w:t>
      </w:r>
      <w:proofErr w:type="spellStart"/>
      <w:r>
        <w:rPr>
          <w:rFonts w:hint="eastAsia"/>
          <w:sz w:val="20"/>
        </w:rPr>
        <w:t>RefSCS</w:t>
      </w:r>
      <w:proofErr w:type="spellEnd"/>
      <w:r>
        <w:rPr>
          <w:rFonts w:hint="eastAsia"/>
          <w:sz w:val="20"/>
        </w:rPr>
        <w:t xml:space="preserve"> </w:t>
      </w:r>
      <w:r>
        <w:rPr>
          <w:rFonts w:hint="eastAsia"/>
          <w:color w:val="000000" w:themeColor="text1"/>
          <w:sz w:val="20"/>
        </w:rPr>
        <w:t xml:space="preserve">= 60 kHz, scaled numbers of UL slots would be 3 and 2 for pattern1 and pattern2 respectively and they can be indicated </w:t>
      </w:r>
      <w:r>
        <w:rPr>
          <w:rFonts w:hint="eastAsia"/>
          <w:sz w:val="20"/>
        </w:rPr>
        <w:t xml:space="preserve">jointly </w:t>
      </w:r>
      <w:r>
        <w:rPr>
          <w:rFonts w:hint="eastAsia"/>
          <w:color w:val="000000" w:themeColor="text1"/>
          <w:sz w:val="20"/>
        </w:rPr>
        <w:t xml:space="preserve">by 6 bits. In addition, based on SL SCS, one UL slot in pattern1 and one UL slot in pattern2 </w:t>
      </w:r>
      <w:proofErr w:type="spellStart"/>
      <w:r>
        <w:rPr>
          <w:rFonts w:hint="eastAsia"/>
          <w:color w:val="000000" w:themeColor="text1"/>
          <w:sz w:val="20"/>
        </w:rPr>
        <w:t>can not</w:t>
      </w:r>
      <w:proofErr w:type="spellEnd"/>
      <w:r>
        <w:rPr>
          <w:rFonts w:hint="eastAsia"/>
          <w:color w:val="000000" w:themeColor="text1"/>
          <w:sz w:val="20"/>
        </w:rPr>
        <w:t xml:space="preserve"> be scaled. They can be indicated jointly by the remaining bit in the 7 bits. In this </w:t>
      </w:r>
      <w:bookmarkEnd w:id="8"/>
      <w:r>
        <w:rPr>
          <w:rFonts w:hint="eastAsia"/>
          <w:color w:val="000000" w:themeColor="text1"/>
          <w:sz w:val="20"/>
        </w:rPr>
        <w:t xml:space="preserve">way, more TDD configurations in coverage can be indicated in PSBCH given the </w:t>
      </w:r>
      <w:r>
        <w:rPr>
          <w:sz w:val="20"/>
        </w:rPr>
        <w:t>UL slot(s) derived by out of coverage UE from PSBCH</w:t>
      </w:r>
      <w:r>
        <w:rPr>
          <w:rFonts w:hint="eastAsia"/>
          <w:sz w:val="20"/>
        </w:rPr>
        <w:t xml:space="preserve"> </w:t>
      </w:r>
      <w:r>
        <w:rPr>
          <w:sz w:val="20"/>
        </w:rPr>
        <w:t>should be aligned with that derived by in coverage UE from TDD-UL-DL-</w:t>
      </w:r>
      <w:proofErr w:type="spellStart"/>
      <w:r>
        <w:rPr>
          <w:sz w:val="20"/>
        </w:rPr>
        <w:t>ConfigCommon</w:t>
      </w:r>
      <w:proofErr w:type="spellEnd"/>
      <w:r>
        <w:rPr>
          <w:rFonts w:hint="eastAsia"/>
          <w:sz w:val="20"/>
        </w:rPr>
        <w:t>[3]</w:t>
      </w:r>
      <w:r>
        <w:rPr>
          <w:rFonts w:hint="eastAsia"/>
          <w:color w:val="000000" w:themeColor="text1"/>
          <w:sz w:val="20"/>
        </w:rPr>
        <w:t xml:space="preserve">. </w:t>
      </w:r>
    </w:p>
    <w:p w:rsidR="00F83EC7" w:rsidRDefault="00F83EC7">
      <w:pPr>
        <w:spacing w:before="120" w:after="120" w:line="22" w:lineRule="atLeast"/>
        <w:jc w:val="center"/>
        <w:rPr>
          <w:color w:val="000000" w:themeColor="text1"/>
          <w:sz w:val="20"/>
        </w:rPr>
      </w:pPr>
      <w:r w:rsidRPr="00F83EC7">
        <w:rPr>
          <w:rFonts w:eastAsia="Times New Roman"/>
        </w:rPr>
        <w:object w:dxaOrig="9192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1.7pt;height:138.8pt" o:ole="">
            <v:imagedata r:id="rId8" o:title=""/>
            <o:lock v:ext="edit" aspectratio="f"/>
          </v:shape>
          <o:OLEObject Type="Embed" ProgID="Visio.Drawing.11" ShapeID="_x0000_i1025" DrawAspect="Content" ObjectID="_1651128381" r:id="rId9"/>
        </w:object>
      </w:r>
    </w:p>
    <w:p w:rsidR="00F83EC7" w:rsidRDefault="00E959BB">
      <w:pPr>
        <w:spacing w:before="120" w:after="120" w:line="22" w:lineRule="atLeast"/>
        <w:jc w:val="center"/>
        <w:rPr>
          <w:color w:val="000000" w:themeColor="text1"/>
          <w:sz w:val="20"/>
        </w:rPr>
      </w:pPr>
      <w:r>
        <w:rPr>
          <w:rFonts w:hint="eastAsia"/>
          <w:color w:val="000000" w:themeColor="text1"/>
          <w:sz w:val="20"/>
        </w:rPr>
        <w:t>Figure 1 illustration for SL potential slot indication</w:t>
      </w:r>
    </w:p>
    <w:p w:rsidR="00F83EC7" w:rsidRDefault="00F83EC7">
      <w:pPr>
        <w:spacing w:before="120" w:after="120" w:line="22" w:lineRule="atLeast"/>
        <w:rPr>
          <w:sz w:val="20"/>
        </w:rPr>
      </w:pPr>
    </w:p>
    <w:p w:rsidR="0004524A" w:rsidRDefault="0004524A" w:rsidP="0004524A">
      <w:pPr>
        <w:pStyle w:val="10"/>
        <w:spacing w:before="120" w:after="120"/>
      </w:pPr>
      <w:bookmarkStart w:id="9" w:name="_Toc17029"/>
      <w:bookmarkStart w:id="10" w:name="_Toc9398"/>
      <w:bookmarkStart w:id="11" w:name="_Toc21930"/>
      <w:r w:rsidRPr="0004524A">
        <w:t xml:space="preserve">Proposal 2: The number of combinations of potential </w:t>
      </w:r>
      <w:proofErr w:type="spellStart"/>
      <w:r w:rsidRPr="0004524A">
        <w:t>sidelink</w:t>
      </w:r>
      <w:proofErr w:type="spellEnd"/>
      <w:r w:rsidRPr="0004524A">
        <w:t xml:space="preserve"> slots based on SL SCS in two patterns are N_(s,1)×N_(s,2) ,where N_(s,1) and N_(s,2) are the slot numbers within each periodicity of the configured pattern respectively. If 7 bits are not enough to indicate the combinations</w:t>
      </w:r>
    </w:p>
    <w:p w:rsidR="00F83EC7" w:rsidRDefault="00A045D1" w:rsidP="0004524A">
      <w:pPr>
        <w:pStyle w:val="YJ-Proposal"/>
        <w:numPr>
          <w:ilvl w:val="0"/>
          <w:numId w:val="11"/>
        </w:numPr>
        <w:tabs>
          <w:tab w:val="clear" w:pos="420"/>
        </w:tabs>
        <w:adjustRightInd w:val="0"/>
        <w:spacing w:beforeLines="0" w:afterLines="0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 w:rsidR="00E959BB">
        <w:rPr>
          <w:rFonts w:hint="eastAsia"/>
          <w:lang w:val="en-US" w:eastAsia="zh-CN"/>
        </w:rPr>
        <w:t xml:space="preserve">upport to indicate them based on </w:t>
      </w:r>
      <w:bookmarkEnd w:id="9"/>
      <w:proofErr w:type="spellStart"/>
      <w:r w:rsidR="00E959BB">
        <w:rPr>
          <w:rFonts w:hint="eastAsia"/>
          <w:lang w:val="en-US" w:eastAsia="zh-CN"/>
        </w:rPr>
        <w:t>RefSCS</w:t>
      </w:r>
      <w:bookmarkEnd w:id="10"/>
      <w:bookmarkEnd w:id="11"/>
      <w:proofErr w:type="spellEnd"/>
    </w:p>
    <w:p w:rsidR="00F83EC7" w:rsidRDefault="00E959BB">
      <w:pPr>
        <w:pStyle w:val="YJ-Proposal"/>
        <w:numPr>
          <w:ilvl w:val="0"/>
          <w:numId w:val="11"/>
        </w:numPr>
        <w:tabs>
          <w:tab w:val="clear" w:pos="420"/>
        </w:tabs>
        <w:adjustRightInd w:val="0"/>
        <w:spacing w:beforeLines="0" w:afterLines="0"/>
        <w:rPr>
          <w:rFonts w:eastAsia="宋体"/>
          <w:szCs w:val="22"/>
          <w:lang w:val="en-US" w:eastAsia="zh-CN"/>
        </w:rPr>
      </w:pPr>
      <w:bookmarkStart w:id="12" w:name="_Toc22573"/>
      <w:bookmarkStart w:id="13" w:name="_Toc15308"/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RefSCS</w:t>
      </w:r>
      <w:proofErr w:type="spellEnd"/>
      <w:r>
        <w:rPr>
          <w:rFonts w:hint="eastAsia"/>
          <w:lang w:val="en-US" w:eastAsia="zh-CN"/>
        </w:rPr>
        <w:t xml:space="preserve"> is determined according to</w:t>
      </w:r>
      <w:bookmarkEnd w:id="12"/>
      <w:bookmarkEnd w:id="13"/>
    </w:p>
    <w:p w:rsidR="00F83EC7" w:rsidRDefault="00E959BB" w:rsidP="0004524A">
      <w:pPr>
        <w:pStyle w:val="YJ-Proposal"/>
        <w:numPr>
          <w:ilvl w:val="0"/>
          <w:numId w:val="0"/>
        </w:numPr>
        <w:adjustRightInd w:val="0"/>
        <w:spacing w:beforeLines="0" w:afterLines="0"/>
        <w:ind w:leftChars="400" w:left="840"/>
        <w:jc w:val="left"/>
        <w:rPr>
          <w:rFonts w:eastAsia="宋体"/>
          <w:szCs w:val="22"/>
          <w:lang w:val="en-US" w:eastAsia="zh-CN"/>
        </w:rPr>
      </w:pPr>
      <w:bookmarkStart w:id="14" w:name="_Toc22208"/>
      <w:bookmarkStart w:id="15" w:name="_Toc3691"/>
      <w:r>
        <w:rPr>
          <w:rFonts w:hint="eastAsia"/>
          <w:lang w:val="en-US" w:eastAsia="zh-CN"/>
        </w:rPr>
        <w:t xml:space="preserve">-  </w:t>
      </w:r>
      <w:proofErr w:type="spellStart"/>
      <w:r>
        <w:rPr>
          <w:rFonts w:hint="eastAsia"/>
          <w:lang w:val="en-US" w:eastAsia="zh-CN"/>
        </w:rPr>
        <w:t>RefSCS</w:t>
      </w:r>
      <w:proofErr w:type="spellEnd"/>
      <w:r>
        <w:rPr>
          <w:rFonts w:hint="eastAsia"/>
          <w:lang w:val="en-US" w:eastAsia="zh-CN"/>
        </w:rPr>
        <w:t xml:space="preserve"> = min(SL SCS, </w:t>
      </w:r>
      <w:r>
        <w:rPr>
          <w:rFonts w:eastAsia="宋体" w:hint="eastAsia"/>
        </w:rPr>
        <w:t>maximal supportable SCS with at most 7 bits</w:t>
      </w:r>
      <w:r>
        <w:rPr>
          <w:rFonts w:hint="eastAsia"/>
          <w:lang w:val="en-US" w:eastAsia="zh-CN"/>
        </w:rPr>
        <w:t>)</w:t>
      </w:r>
      <w:bookmarkEnd w:id="14"/>
      <w:bookmarkEnd w:id="15"/>
    </w:p>
    <w:p w:rsidR="00F83EC7" w:rsidRDefault="00E959BB">
      <w:pPr>
        <w:pStyle w:val="YJ-Observation"/>
        <w:spacing w:before="120" w:after="120"/>
        <w:rPr>
          <w:szCs w:val="22"/>
        </w:rPr>
      </w:pPr>
      <w:bookmarkStart w:id="16" w:name="_Toc20305"/>
      <w:bookmarkStart w:id="17" w:name="_Toc16945"/>
      <w:r>
        <w:rPr>
          <w:rFonts w:eastAsia="宋体" w:hint="eastAsia"/>
          <w:szCs w:val="22"/>
          <w:lang w:val="en-US" w:eastAsia="zh-CN"/>
        </w:rPr>
        <w:t xml:space="preserve">In some cases, there is one remaining </w:t>
      </w:r>
      <w:r>
        <w:rPr>
          <w:rFonts w:hint="eastAsia"/>
          <w:lang w:val="en-US" w:eastAsia="zh-CN"/>
        </w:rPr>
        <w:t xml:space="preserve">bit in the 7 bits after indicating </w:t>
      </w:r>
      <w:r>
        <w:rPr>
          <w:rFonts w:hint="eastAsia"/>
          <w:color w:val="000000" w:themeColor="text1"/>
          <w:lang w:val="en-US" w:eastAsia="zh-CN"/>
        </w:rPr>
        <w:t xml:space="preserve">potential </w:t>
      </w:r>
      <w:proofErr w:type="spellStart"/>
      <w:r>
        <w:rPr>
          <w:rFonts w:hint="eastAsia"/>
          <w:color w:val="000000" w:themeColor="text1"/>
          <w:lang w:val="en-US" w:eastAsia="zh-CN"/>
        </w:rPr>
        <w:t>sidelink</w:t>
      </w:r>
      <w:proofErr w:type="spellEnd"/>
      <w:r>
        <w:rPr>
          <w:rFonts w:hint="eastAsia"/>
          <w:color w:val="000000" w:themeColor="text1"/>
          <w:lang w:val="en-US" w:eastAsia="zh-CN"/>
        </w:rPr>
        <w:t xml:space="preserve"> slot in two patterns </w:t>
      </w:r>
      <w:r>
        <w:rPr>
          <w:rFonts w:hint="eastAsia"/>
          <w:lang w:val="en-US" w:eastAsia="zh-CN"/>
        </w:rPr>
        <w:t xml:space="preserve">based on </w:t>
      </w:r>
      <w:proofErr w:type="spellStart"/>
      <w:r>
        <w:rPr>
          <w:rFonts w:hint="eastAsia"/>
          <w:lang w:val="en-US" w:eastAsia="zh-CN"/>
        </w:rPr>
        <w:t>RefSCS</w:t>
      </w:r>
      <w:proofErr w:type="spellEnd"/>
      <w:r>
        <w:rPr>
          <w:rFonts w:hint="eastAsia"/>
          <w:lang w:val="en-US" w:eastAsia="zh-CN"/>
        </w:rPr>
        <w:t>.</w:t>
      </w:r>
      <w:bookmarkEnd w:id="16"/>
      <w:bookmarkEnd w:id="17"/>
      <w:r>
        <w:rPr>
          <w:rFonts w:hint="eastAsia"/>
          <w:szCs w:val="22"/>
        </w:rPr>
        <w:t xml:space="preserve"> </w:t>
      </w:r>
    </w:p>
    <w:p w:rsidR="00F83EC7" w:rsidRDefault="0008205E" w:rsidP="0008205E">
      <w:pPr>
        <w:pStyle w:val="YJ-Proposal"/>
        <w:numPr>
          <w:ilvl w:val="0"/>
          <w:numId w:val="0"/>
        </w:numPr>
        <w:adjustRightInd w:val="0"/>
        <w:spacing w:beforeLines="0" w:afterLines="0"/>
      </w:pPr>
      <w:bookmarkStart w:id="18" w:name="_Toc28046"/>
      <w:bookmarkStart w:id="19" w:name="_Toc3373"/>
      <w:r>
        <w:rPr>
          <w:rFonts w:hint="eastAsia"/>
          <w:lang w:eastAsia="zh-CN"/>
        </w:rPr>
        <w:t xml:space="preserve">Proposal 3: </w:t>
      </w:r>
      <w:r w:rsidR="00E959BB">
        <w:rPr>
          <w:rFonts w:hint="eastAsia"/>
          <w:lang w:val="en-US" w:eastAsia="zh-CN"/>
        </w:rPr>
        <w:t>If</w:t>
      </w:r>
      <w:r w:rsidR="009A6849">
        <w:rPr>
          <w:rFonts w:hint="eastAsia"/>
          <w:strike/>
          <w:lang w:val="en-US" w:eastAsia="zh-CN"/>
        </w:rPr>
        <w:t xml:space="preserve"> </w:t>
      </w:r>
      <w:r w:rsidR="00E959BB">
        <w:rPr>
          <w:rFonts w:hint="eastAsia"/>
          <w:lang w:val="en-US" w:eastAsia="zh-CN"/>
        </w:rPr>
        <w:t xml:space="preserve">remaining bit </w:t>
      </w:r>
      <w:r w:rsidR="009A6849">
        <w:rPr>
          <w:rFonts w:hint="eastAsia"/>
          <w:lang w:val="en-US" w:eastAsia="zh-CN"/>
        </w:rPr>
        <w:t>exists</w:t>
      </w:r>
      <w:r w:rsidR="00E959BB">
        <w:rPr>
          <w:rFonts w:hint="eastAsia"/>
          <w:lang w:val="en-US" w:eastAsia="zh-CN"/>
        </w:rPr>
        <w:t xml:space="preserve"> in the 7 bits after indication based on </w:t>
      </w:r>
      <w:proofErr w:type="spellStart"/>
      <w:r w:rsidR="00E959BB">
        <w:rPr>
          <w:rFonts w:hint="eastAsia"/>
          <w:lang w:val="en-US" w:eastAsia="zh-CN"/>
        </w:rPr>
        <w:t>RefSCS</w:t>
      </w:r>
      <w:proofErr w:type="spellEnd"/>
      <w:r w:rsidR="00E959BB">
        <w:rPr>
          <w:rFonts w:hint="eastAsia"/>
          <w:lang w:val="en-US" w:eastAsia="zh-CN"/>
        </w:rPr>
        <w:t xml:space="preserve">, it should be used to indicate potential </w:t>
      </w:r>
      <w:proofErr w:type="spellStart"/>
      <w:r w:rsidR="00E959BB">
        <w:rPr>
          <w:rFonts w:hint="eastAsia"/>
          <w:lang w:val="en-US" w:eastAsia="zh-CN"/>
        </w:rPr>
        <w:t>sidelink</w:t>
      </w:r>
      <w:proofErr w:type="spellEnd"/>
      <w:r w:rsidR="00E959BB">
        <w:rPr>
          <w:rFonts w:hint="eastAsia"/>
          <w:lang w:val="en-US" w:eastAsia="zh-CN"/>
        </w:rPr>
        <w:t xml:space="preserve"> slot.</w:t>
      </w:r>
      <w:bookmarkEnd w:id="18"/>
      <w:bookmarkEnd w:id="19"/>
    </w:p>
    <w:p w:rsidR="00F83EC7" w:rsidRDefault="00E959BB">
      <w:pPr>
        <w:pStyle w:val="2"/>
        <w:adjustRightInd w:val="0"/>
        <w:snapToGrid w:val="0"/>
        <w:spacing w:before="120" w:after="120" w:line="260" w:lineRule="auto"/>
        <w:ind w:left="991" w:right="210" w:hangingChars="354" w:hanging="991"/>
        <w:rPr>
          <w:rFonts w:eastAsia="宋体"/>
          <w:szCs w:val="24"/>
        </w:rPr>
      </w:pPr>
      <w:r>
        <w:rPr>
          <w:rFonts w:eastAsia="宋体" w:hint="eastAsia"/>
          <w:szCs w:val="24"/>
        </w:rPr>
        <w:t>Validation Rules for S-SSB transmission</w:t>
      </w:r>
    </w:p>
    <w:p w:rsidR="00F83EC7" w:rsidRDefault="00E959BB">
      <w:pPr>
        <w:snapToGrid w:val="0"/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>Agreements were reached for S-SSB occasion configuration in RAN1 #99:</w:t>
      </w:r>
    </w:p>
    <w:p w:rsidR="00F83EC7" w:rsidRDefault="00E959BB">
      <w:pPr>
        <w:spacing w:before="120" w:after="120"/>
        <w:rPr>
          <w:sz w:val="20"/>
        </w:rPr>
      </w:pPr>
      <w:r>
        <w:rPr>
          <w:sz w:val="20"/>
          <w:highlight w:val="green"/>
        </w:rPr>
        <w:t>Agreements</w:t>
      </w:r>
      <w:r>
        <w:rPr>
          <w:sz w:val="20"/>
        </w:rPr>
        <w:t>:</w:t>
      </w:r>
    </w:p>
    <w:p w:rsidR="00F83EC7" w:rsidRDefault="00E959BB">
      <w:pPr>
        <w:pStyle w:val="a5"/>
        <w:numPr>
          <w:ilvl w:val="0"/>
          <w:numId w:val="12"/>
        </w:numPr>
        <w:spacing w:before="120"/>
        <w:rPr>
          <w:rFonts w:eastAsia="DengXian"/>
          <w:bCs/>
          <w:iCs/>
          <w:sz w:val="20"/>
        </w:rPr>
      </w:pPr>
      <w:r>
        <w:rPr>
          <w:rFonts w:eastAsia="DengXian"/>
          <w:bCs/>
          <w:iCs/>
          <w:sz w:val="20"/>
        </w:rPr>
        <w:t>T</w:t>
      </w:r>
      <w:r>
        <w:rPr>
          <w:rFonts w:eastAsia="DengXian" w:hint="eastAsia"/>
          <w:bCs/>
          <w:iCs/>
          <w:sz w:val="20"/>
        </w:rPr>
        <w:t xml:space="preserve">he S-SSBs within </w:t>
      </w:r>
      <w:r>
        <w:rPr>
          <w:rFonts w:eastAsia="DengXian"/>
          <w:bCs/>
          <w:iCs/>
          <w:sz w:val="20"/>
        </w:rPr>
        <w:t>the</w:t>
      </w:r>
      <w:r>
        <w:rPr>
          <w:rFonts w:eastAsia="DengXian" w:hint="eastAsia"/>
          <w:bCs/>
          <w:iCs/>
          <w:sz w:val="20"/>
        </w:rPr>
        <w:t xml:space="preserve"> period of 160ms are distributed</w:t>
      </w:r>
      <w:r>
        <w:rPr>
          <w:rFonts w:eastAsia="DengXian"/>
          <w:bCs/>
          <w:iCs/>
          <w:sz w:val="20"/>
        </w:rPr>
        <w:t xml:space="preserve"> with the same interval </w:t>
      </w:r>
      <w:r>
        <w:rPr>
          <w:rFonts w:eastAsia="DengXian" w:hint="eastAsia"/>
          <w:bCs/>
          <w:iCs/>
          <w:sz w:val="20"/>
        </w:rPr>
        <w:t>with the following (pre-)configured parameter</w:t>
      </w:r>
      <w:r>
        <w:rPr>
          <w:rFonts w:eastAsia="DengXian"/>
          <w:bCs/>
          <w:iCs/>
          <w:sz w:val="20"/>
        </w:rPr>
        <w:t>s</w:t>
      </w:r>
      <w:r>
        <w:rPr>
          <w:rFonts w:eastAsia="DengXian" w:hint="eastAsia"/>
          <w:bCs/>
          <w:iCs/>
          <w:sz w:val="20"/>
        </w:rPr>
        <w:t>:</w:t>
      </w:r>
    </w:p>
    <w:p w:rsidR="00F83EC7" w:rsidRDefault="00E959BB">
      <w:pPr>
        <w:pStyle w:val="a5"/>
        <w:numPr>
          <w:ilvl w:val="0"/>
          <w:numId w:val="13"/>
        </w:numPr>
        <w:spacing w:before="120"/>
        <w:rPr>
          <w:rFonts w:eastAsia="DengXian"/>
          <w:bCs/>
          <w:iCs/>
          <w:sz w:val="20"/>
        </w:rPr>
      </w:pPr>
      <w:r>
        <w:rPr>
          <w:rFonts w:eastAsia="DengXian"/>
          <w:bCs/>
          <w:iCs/>
          <w:sz w:val="20"/>
        </w:rPr>
        <w:t>The offset from the start of the S-SSB period to the first S-SSB</w:t>
      </w:r>
    </w:p>
    <w:p w:rsidR="00F83EC7" w:rsidRDefault="00E959BB">
      <w:pPr>
        <w:pStyle w:val="a5"/>
        <w:numPr>
          <w:ilvl w:val="0"/>
          <w:numId w:val="13"/>
        </w:numPr>
        <w:spacing w:before="120"/>
        <w:rPr>
          <w:rFonts w:eastAsia="DengXian"/>
          <w:bCs/>
          <w:iCs/>
          <w:sz w:val="20"/>
        </w:rPr>
      </w:pPr>
      <w:r>
        <w:rPr>
          <w:rFonts w:eastAsia="DengXian"/>
          <w:bCs/>
          <w:iCs/>
          <w:sz w:val="20"/>
        </w:rPr>
        <w:t>The interval between neighboring S-SSBs</w:t>
      </w:r>
    </w:p>
    <w:p w:rsidR="00F83EC7" w:rsidRDefault="00E959BB" w:rsidP="00F83EC7">
      <w:pPr>
        <w:snapToGrid w:val="0"/>
        <w:spacing w:before="120" w:after="120" w:line="264" w:lineRule="auto"/>
        <w:rPr>
          <w:sz w:val="20"/>
        </w:rPr>
      </w:pPr>
      <w:r>
        <w:rPr>
          <w:rFonts w:hint="eastAsia"/>
          <w:sz w:val="20"/>
        </w:rPr>
        <w:lastRenderedPageBreak/>
        <w:t xml:space="preserve">The occasions configured following this agreement could overlap with DL slots and additional validation rules need to be discussed. For example, under dual pattern with P=5 ms and P2=5 ms and 64 S-SSBs configured within 160ms period, 4 S-SSBs need to be distributed with equal interval within P+P2 = 10ms. In case less than half of the slots are UL slots in both patterns, the S-SSB is likely to overlap with DL slot. Since the resource of DL is not used for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, it is sensible to invalidate the S-SSB occasion which overlaps with DL slot. </w:t>
      </w:r>
    </w:p>
    <w:p w:rsidR="00F83EC7" w:rsidRDefault="00F83EC7">
      <w:pPr>
        <w:snapToGrid w:val="0"/>
        <w:spacing w:before="120" w:after="120" w:line="260" w:lineRule="auto"/>
        <w:rPr>
          <w:color w:val="000000"/>
          <w:sz w:val="20"/>
          <w:shd w:val="clear" w:color="auto" w:fill="FFFFFF"/>
        </w:rPr>
      </w:pPr>
    </w:p>
    <w:p w:rsidR="00F83EC7" w:rsidRDefault="00940719" w:rsidP="00940719">
      <w:pPr>
        <w:pStyle w:val="YJ-Proposal"/>
        <w:numPr>
          <w:ilvl w:val="0"/>
          <w:numId w:val="0"/>
        </w:numPr>
        <w:adjustRightInd w:val="0"/>
        <w:spacing w:beforeLines="0" w:afterLines="0"/>
      </w:pPr>
      <w:bookmarkStart w:id="20" w:name="_Toc23437"/>
      <w:bookmarkStart w:id="21" w:name="_Toc13788"/>
      <w:bookmarkStart w:id="22" w:name="_Toc23068"/>
      <w:bookmarkStart w:id="23" w:name="_Toc7710"/>
      <w:bookmarkStart w:id="24" w:name="_Toc6465"/>
      <w:bookmarkStart w:id="25" w:name="_Toc23544"/>
      <w:bookmarkStart w:id="26" w:name="_Toc28518"/>
      <w:r>
        <w:rPr>
          <w:rFonts w:hint="eastAsia"/>
          <w:lang w:val="en-US" w:eastAsia="zh-CN"/>
        </w:rPr>
        <w:t xml:space="preserve">Proposal 4: </w:t>
      </w:r>
      <w:r w:rsidR="00E959BB">
        <w:rPr>
          <w:rFonts w:hint="eastAsia"/>
          <w:lang w:val="en-US" w:eastAsia="zh-CN"/>
        </w:rPr>
        <w:t>If an occasion configured for S-SSB overlaps with DL slot, it should be invalidated for S-SSB transmission/reception</w:t>
      </w:r>
      <w:r w:rsidR="00E959BB">
        <w:t>.</w:t>
      </w:r>
      <w:bookmarkEnd w:id="20"/>
      <w:bookmarkEnd w:id="21"/>
      <w:bookmarkEnd w:id="22"/>
      <w:bookmarkEnd w:id="23"/>
      <w:bookmarkEnd w:id="24"/>
      <w:bookmarkEnd w:id="25"/>
    </w:p>
    <w:bookmarkEnd w:id="26"/>
    <w:p w:rsidR="00F83EC7" w:rsidRDefault="00F83EC7">
      <w:pPr>
        <w:pStyle w:val="YJ-Proposal"/>
        <w:numPr>
          <w:ilvl w:val="0"/>
          <w:numId w:val="0"/>
        </w:numPr>
        <w:adjustRightInd w:val="0"/>
        <w:spacing w:beforeLines="0" w:afterLines="0"/>
        <w:rPr>
          <w:rFonts w:eastAsia="宋体"/>
          <w:b w:val="0"/>
          <w:bCs w:val="0"/>
          <w:i w:val="0"/>
          <w:iCs w:val="0"/>
          <w:lang w:val="en-US" w:eastAsia="zh-CN"/>
        </w:rPr>
      </w:pPr>
    </w:p>
    <w:p w:rsidR="00F83EC7" w:rsidRDefault="00E959BB">
      <w:pPr>
        <w:pStyle w:val="1"/>
        <w:spacing w:before="120" w:after="120"/>
        <w:ind w:left="0"/>
        <w:rPr>
          <w:rFonts w:eastAsia="宋体"/>
        </w:rPr>
      </w:pPr>
      <w:bookmarkStart w:id="27" w:name="_Toc27598"/>
      <w:r>
        <w:rPr>
          <w:rFonts w:eastAsia="宋体" w:hint="eastAsia"/>
        </w:rPr>
        <w:t>Conclusion</w:t>
      </w:r>
      <w:bookmarkEnd w:id="27"/>
    </w:p>
    <w:p w:rsidR="00F83EC7" w:rsidRDefault="00E959BB" w:rsidP="00062587">
      <w:pPr>
        <w:spacing w:before="120" w:after="120" w:line="264" w:lineRule="auto"/>
        <w:jc w:val="left"/>
        <w:rPr>
          <w:sz w:val="20"/>
        </w:rPr>
      </w:pPr>
      <w:r>
        <w:rPr>
          <w:sz w:val="20"/>
        </w:rPr>
        <w:t>This contribution focuses on synchronization mechanism for NR V2X. It provides the following proposals</w:t>
      </w:r>
      <w:r>
        <w:rPr>
          <w:rFonts w:hint="eastAsia"/>
          <w:sz w:val="20"/>
        </w:rPr>
        <w:t xml:space="preserve"> and observations</w:t>
      </w:r>
      <w:r>
        <w:rPr>
          <w:sz w:val="20"/>
        </w:rPr>
        <w:t>:</w:t>
      </w:r>
    </w:p>
    <w:p w:rsidR="00F83EC7" w:rsidRDefault="00094391" w:rsidP="00062587">
      <w:pPr>
        <w:pStyle w:val="10"/>
        <w:tabs>
          <w:tab w:val="right" w:leader="dot" w:pos="9660"/>
        </w:tabs>
        <w:spacing w:before="120" w:after="120"/>
      </w:pPr>
      <w:r>
        <w:fldChar w:fldCharType="begin"/>
      </w:r>
      <w:r w:rsidR="00E959BB">
        <w:instrText>TOC \n  \t "YJ-Observation,1,sub-observation,2" \h</w:instrText>
      </w:r>
      <w:r>
        <w:fldChar w:fldCharType="separate"/>
      </w:r>
      <w:hyperlink w:anchor="_Toc16945" w:history="1">
        <w:r w:rsidR="00E959BB">
          <w:rPr>
            <w:rFonts w:eastAsia="宋体"/>
            <w:bCs/>
            <w:iCs/>
            <w:szCs w:val="22"/>
          </w:rPr>
          <w:t xml:space="preserve">Observation 1: </w:t>
        </w:r>
        <w:r w:rsidR="00E959BB">
          <w:rPr>
            <w:rFonts w:eastAsia="宋体" w:hint="eastAsia"/>
            <w:szCs w:val="22"/>
          </w:rPr>
          <w:t xml:space="preserve">In some cases, there is one remaining </w:t>
        </w:r>
        <w:r w:rsidR="00E959BB">
          <w:rPr>
            <w:rFonts w:hint="eastAsia"/>
          </w:rPr>
          <w:t>bit in the 7 bits after indicating potential sidelink slot in two patterns based on RefSCS.</w:t>
        </w:r>
      </w:hyperlink>
    </w:p>
    <w:p w:rsidR="00F83EC7" w:rsidRDefault="00094391">
      <w:pPr>
        <w:pStyle w:val="10"/>
        <w:tabs>
          <w:tab w:val="right" w:leader="dot" w:pos="9660"/>
        </w:tabs>
        <w:spacing w:before="120" w:after="120"/>
      </w:pPr>
      <w:r>
        <w:fldChar w:fldCharType="end"/>
      </w:r>
    </w:p>
    <w:p w:rsidR="00F83EC7" w:rsidRDefault="00094391" w:rsidP="00062587">
      <w:pPr>
        <w:pStyle w:val="10"/>
        <w:tabs>
          <w:tab w:val="right" w:leader="dot" w:pos="9660"/>
        </w:tabs>
        <w:spacing w:before="120" w:after="120"/>
      </w:pPr>
      <w:r w:rsidRPr="00094391">
        <w:fldChar w:fldCharType="begin"/>
      </w:r>
      <w:r w:rsidR="00E959BB">
        <w:instrText>TOC \n  \t "YJ-Proposal,1" \h</w:instrText>
      </w:r>
      <w:r w:rsidRPr="00094391">
        <w:fldChar w:fldCharType="separate"/>
      </w:r>
      <w:hyperlink w:anchor="_Toc28394" w:history="1">
        <w:r w:rsidR="00E959BB">
          <w:rPr>
            <w:rFonts w:eastAsia="宋体"/>
            <w:bCs/>
            <w:iCs/>
            <w:szCs w:val="22"/>
          </w:rPr>
          <w:t xml:space="preserve">Proposal 1: </w:t>
        </w:r>
        <w:r w:rsidR="00E959BB">
          <w:rPr>
            <w:rFonts w:eastAsia="宋体" w:hint="eastAsia"/>
            <w:szCs w:val="22"/>
          </w:rPr>
          <w:t xml:space="preserve">Confirm </w:t>
        </w:r>
        <w:r w:rsidR="00E959BB">
          <w:rPr>
            <w:rFonts w:eastAsia="宋体"/>
            <w:szCs w:val="22"/>
          </w:rPr>
          <w:t xml:space="preserve">the working assumption </w:t>
        </w:r>
        <w:r w:rsidR="00E959BB">
          <w:rPr>
            <w:rFonts w:eastAsia="宋体" w:hint="eastAsia"/>
            <w:szCs w:val="22"/>
          </w:rPr>
          <w:t>that slot index within a frame</w:t>
        </w:r>
        <w:r w:rsidR="00E959BB">
          <w:rPr>
            <w:rFonts w:eastAsia="宋体"/>
            <w:szCs w:val="22"/>
          </w:rPr>
          <w:t xml:space="preserve"> is indicated</w:t>
        </w:r>
        <w:r w:rsidR="00E959BB">
          <w:rPr>
            <w:rFonts w:eastAsia="宋体" w:hint="eastAsia"/>
            <w:szCs w:val="22"/>
          </w:rPr>
          <w:t xml:space="preserve"> by 7 bits and the total bits of PSBCH payload </w:t>
        </w:r>
        <w:r w:rsidR="00937802">
          <w:rPr>
            <w:rFonts w:eastAsia="宋体" w:hint="eastAsia"/>
            <w:szCs w:val="22"/>
          </w:rPr>
          <w:t>are</w:t>
        </w:r>
        <w:r w:rsidR="00E959BB">
          <w:rPr>
            <w:rFonts w:eastAsia="宋体" w:hint="eastAsia"/>
            <w:szCs w:val="22"/>
          </w:rPr>
          <w:t xml:space="preserve"> 56bits.</w:t>
        </w:r>
      </w:hyperlink>
    </w:p>
    <w:p w:rsidR="00F83EC7" w:rsidRDefault="00094391" w:rsidP="00062587">
      <w:pPr>
        <w:pStyle w:val="10"/>
        <w:tabs>
          <w:tab w:val="right" w:leader="dot" w:pos="9660"/>
        </w:tabs>
        <w:spacing w:before="120" w:after="120"/>
      </w:pPr>
      <w:hyperlink w:anchor="_Toc19312" w:history="1">
        <w:r w:rsidR="00E959BB">
          <w:rPr>
            <w:rFonts w:eastAsia="宋体"/>
            <w:bCs/>
            <w:iCs/>
            <w:szCs w:val="22"/>
          </w:rPr>
          <w:t xml:space="preserve">Proposal 2: </w:t>
        </w:r>
        <w:r w:rsidR="007908B6">
          <w:rPr>
            <w:rFonts w:eastAsia="宋体" w:hint="eastAsia"/>
            <w:szCs w:val="22"/>
          </w:rPr>
          <w:t>T</w:t>
        </w:r>
        <w:r w:rsidR="00E959BB">
          <w:rPr>
            <w:rFonts w:eastAsia="宋体" w:hint="eastAsia"/>
            <w:szCs w:val="22"/>
          </w:rPr>
          <w:t xml:space="preserve">he </w:t>
        </w:r>
        <w:r w:rsidR="00E959BB">
          <w:t xml:space="preserve">number of combinations </w:t>
        </w:r>
        <w:r w:rsidR="00E959BB">
          <w:rPr>
            <w:rFonts w:hint="eastAsia"/>
          </w:rPr>
          <w:t>of potential sidelink slots based on SL SCS in two patterns</w:t>
        </w:r>
        <w:r w:rsidR="007908B6">
          <w:rPr>
            <w:rFonts w:hint="eastAsia"/>
          </w:rPr>
          <w:t xml:space="preserve"> are </w:t>
        </w:r>
        <m:oMath>
          <m:sSub>
            <m:sSubPr>
              <m:ctrlPr>
                <w:rPr>
                  <w:rFonts w:ascii="Cambria Math" w:hAnsi="Cambria Math"/>
                  <w:i w:val="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s,1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  <w:i w:val="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s,2</m:t>
              </m:r>
            </m:sub>
          </m:sSub>
        </m:oMath>
        <w:r w:rsidR="007908B6">
          <w:rPr>
            <w:rFonts w:hint="eastAsia"/>
          </w:rPr>
          <w:t xml:space="preserve"> </w:t>
        </w:r>
        <w:r w:rsidR="00744286">
          <w:rPr>
            <w:rFonts w:hint="eastAsia"/>
          </w:rPr>
          <w:t>,</w:t>
        </w:r>
        <w:r w:rsidR="007908B6">
          <w:rPr>
            <w:rFonts w:hint="eastAsia"/>
          </w:rPr>
          <w:t xml:space="preserve">where </w:t>
        </w:r>
        <m:oMath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s,1</m:t>
              </m:r>
            </m:sub>
          </m:sSub>
        </m:oMath>
        <w:r w:rsidR="00744286">
          <w:rPr>
            <w:rFonts w:hint="eastAsia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 w:val="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s,2</m:t>
              </m:r>
            </m:sub>
          </m:sSub>
        </m:oMath>
        <w:r w:rsidR="00744286">
          <w:rPr>
            <w:rFonts w:hint="eastAsia"/>
          </w:rPr>
          <w:t xml:space="preserve"> are the slot numbers within each periodicity of the configured pattern respectively</w:t>
        </w:r>
        <w:r w:rsidR="006642DF">
          <w:rPr>
            <w:rFonts w:hint="eastAsia"/>
          </w:rPr>
          <w:t>.</w:t>
        </w:r>
        <w:r w:rsidR="00744286">
          <w:rPr>
            <w:rFonts w:hint="eastAsia"/>
          </w:rPr>
          <w:t xml:space="preserve"> </w:t>
        </w:r>
        <w:r w:rsidR="006642DF">
          <w:rPr>
            <w:rFonts w:hint="eastAsia"/>
          </w:rPr>
          <w:t>If</w:t>
        </w:r>
      </w:hyperlink>
      <w:r w:rsidR="006642DF">
        <w:rPr>
          <w:rFonts w:hint="eastAsia"/>
        </w:rPr>
        <w:t xml:space="preserve"> 7 bits are not enough to indicate the combinations,</w:t>
      </w:r>
    </w:p>
    <w:p w:rsidR="00F83EC7" w:rsidRDefault="00094391" w:rsidP="00062587">
      <w:pPr>
        <w:pStyle w:val="10"/>
        <w:tabs>
          <w:tab w:val="right" w:leader="dot" w:pos="9660"/>
        </w:tabs>
        <w:spacing w:before="120" w:after="120"/>
      </w:pPr>
      <w:hyperlink w:anchor="_Toc21930" w:history="1">
        <w:r w:rsidR="00E959BB">
          <w:rPr>
            <w:rFonts w:ascii="Wingdings" w:eastAsia="宋体" w:hAnsi="Wingdings"/>
            <w:szCs w:val="22"/>
          </w:rPr>
          <w:t xml:space="preserve"> </w:t>
        </w:r>
        <w:r w:rsidR="00E959BB">
          <w:rPr>
            <w:rFonts w:hint="eastAsia"/>
          </w:rPr>
          <w:t>support to indicate them based on RefSCS</w:t>
        </w:r>
      </w:hyperlink>
    </w:p>
    <w:p w:rsidR="00F83EC7" w:rsidRDefault="00094391" w:rsidP="00062587">
      <w:pPr>
        <w:pStyle w:val="10"/>
        <w:tabs>
          <w:tab w:val="right" w:leader="dot" w:pos="9660"/>
        </w:tabs>
        <w:spacing w:before="120" w:after="120"/>
      </w:pPr>
      <w:hyperlink w:anchor="_Toc15308" w:history="1">
        <w:r w:rsidR="00E959BB">
          <w:rPr>
            <w:rFonts w:ascii="Wingdings" w:eastAsia="宋体" w:hAnsi="Wingdings"/>
            <w:szCs w:val="22"/>
          </w:rPr>
          <w:t xml:space="preserve"> </w:t>
        </w:r>
        <w:r w:rsidR="00E959BB">
          <w:rPr>
            <w:rFonts w:hint="eastAsia"/>
          </w:rPr>
          <w:t>The RefSCS is determined according to the following relationship</w:t>
        </w:r>
      </w:hyperlink>
    </w:p>
    <w:p w:rsidR="00F83EC7" w:rsidRDefault="00094391" w:rsidP="00062587">
      <w:pPr>
        <w:pStyle w:val="10"/>
        <w:tabs>
          <w:tab w:val="right" w:leader="dot" w:pos="9660"/>
        </w:tabs>
        <w:spacing w:before="120" w:after="120"/>
      </w:pPr>
      <w:hyperlink w:anchor="_Toc3691" w:history="1">
        <w:r w:rsidR="00E959BB">
          <w:rPr>
            <w:rFonts w:hint="eastAsia"/>
          </w:rPr>
          <w:t xml:space="preserve">-  RefSCS = min(SL SCS, </w:t>
        </w:r>
        <w:r w:rsidR="00E959BB">
          <w:rPr>
            <w:rFonts w:eastAsia="宋体" w:hint="eastAsia"/>
          </w:rPr>
          <w:t>maximal supportable SCS with at most 7 bits</w:t>
        </w:r>
        <w:r w:rsidR="00E959BB">
          <w:rPr>
            <w:rFonts w:hint="eastAsia"/>
          </w:rPr>
          <w:t>)</w:t>
        </w:r>
      </w:hyperlink>
    </w:p>
    <w:p w:rsidR="00F83EC7" w:rsidRDefault="00094391" w:rsidP="00062587">
      <w:pPr>
        <w:pStyle w:val="10"/>
        <w:tabs>
          <w:tab w:val="right" w:leader="dot" w:pos="9660"/>
        </w:tabs>
        <w:spacing w:before="120" w:after="120"/>
      </w:pPr>
      <w:hyperlink w:anchor="_Toc3373" w:history="1">
        <w:r w:rsidR="00E959BB">
          <w:rPr>
            <w:rFonts w:eastAsia="宋体"/>
            <w:bCs/>
            <w:iCs/>
          </w:rPr>
          <w:t xml:space="preserve">Proposal 3: </w:t>
        </w:r>
        <w:r w:rsidR="003F2471">
          <w:rPr>
            <w:rFonts w:hint="eastAsia"/>
          </w:rPr>
          <w:t>If</w:t>
        </w:r>
        <w:r w:rsidR="003F2471">
          <w:rPr>
            <w:rFonts w:hint="eastAsia"/>
            <w:strike/>
          </w:rPr>
          <w:t xml:space="preserve"> </w:t>
        </w:r>
        <w:r w:rsidR="003F2471">
          <w:rPr>
            <w:rFonts w:hint="eastAsia"/>
          </w:rPr>
          <w:t>remaining bit exists in the 7 bits after indication based on RefSCS</w:t>
        </w:r>
        <w:r w:rsidR="00E959BB">
          <w:rPr>
            <w:rFonts w:hint="eastAsia"/>
          </w:rPr>
          <w:t>, it should be used to indicate potential sidelink slot.</w:t>
        </w:r>
      </w:hyperlink>
    </w:p>
    <w:p w:rsidR="00F83EC7" w:rsidRDefault="00094391" w:rsidP="00062587">
      <w:pPr>
        <w:pStyle w:val="10"/>
        <w:tabs>
          <w:tab w:val="right" w:leader="dot" w:pos="9660"/>
        </w:tabs>
        <w:spacing w:before="120" w:after="120"/>
      </w:pPr>
      <w:hyperlink w:anchor="_Toc23544" w:history="1">
        <w:r w:rsidR="00E959BB">
          <w:rPr>
            <w:rFonts w:eastAsia="宋体"/>
            <w:bCs/>
            <w:iCs/>
          </w:rPr>
          <w:t xml:space="preserve">Proposal 4: </w:t>
        </w:r>
        <w:r w:rsidR="00E959BB">
          <w:rPr>
            <w:rFonts w:hint="eastAsia"/>
          </w:rPr>
          <w:t>If an occasion configured for S-SSB overlaps with DL slot, it should be invalidated for S-SSB transmission/reception</w:t>
        </w:r>
        <w:r w:rsidR="00E959BB">
          <w:t>.</w:t>
        </w:r>
      </w:hyperlink>
    </w:p>
    <w:p w:rsidR="00F83EC7" w:rsidRDefault="00094391">
      <w:pPr>
        <w:spacing w:before="120" w:after="120"/>
        <w:rPr>
          <w:lang w:val="en-GB"/>
        </w:rPr>
      </w:pPr>
      <w:r>
        <w:fldChar w:fldCharType="end"/>
      </w:r>
    </w:p>
    <w:p w:rsidR="00F83EC7" w:rsidRDefault="00E959BB">
      <w:pPr>
        <w:pStyle w:val="1"/>
        <w:spacing w:before="120" w:after="120"/>
        <w:ind w:left="0"/>
        <w:rPr>
          <w:rFonts w:eastAsia="宋体"/>
        </w:rPr>
      </w:pPr>
      <w:bookmarkStart w:id="28" w:name="_Toc24935"/>
      <w:r>
        <w:rPr>
          <w:rFonts w:eastAsia="宋体" w:hint="eastAsia"/>
        </w:rPr>
        <w:t>Reference</w:t>
      </w:r>
      <w:r>
        <w:rPr>
          <w:rFonts w:eastAsia="宋体"/>
        </w:rPr>
        <w:t>s</w:t>
      </w:r>
      <w:bookmarkEnd w:id="28"/>
    </w:p>
    <w:p w:rsidR="00F83EC7" w:rsidRDefault="00E959BB" w:rsidP="00F83EC7">
      <w:pPr>
        <w:pStyle w:val="References"/>
        <w:spacing w:before="120" w:after="120" w:line="264" w:lineRule="auto"/>
        <w:ind w:left="363" w:hanging="363"/>
        <w:rPr>
          <w:sz w:val="20"/>
          <w:szCs w:val="22"/>
        </w:rPr>
      </w:pPr>
      <w:bookmarkStart w:id="29" w:name="_Ref17466"/>
      <w:r>
        <w:rPr>
          <w:sz w:val="20"/>
          <w:szCs w:val="22"/>
        </w:rPr>
        <w:t>RAN1 Chairman’s Notes, 3GPP TSG RAN WG1 Meeting #9</w:t>
      </w:r>
      <w:r>
        <w:rPr>
          <w:rFonts w:hint="eastAsia"/>
          <w:sz w:val="20"/>
          <w:szCs w:val="22"/>
        </w:rPr>
        <w:t>9</w:t>
      </w:r>
      <w:r>
        <w:rPr>
          <w:sz w:val="20"/>
          <w:szCs w:val="22"/>
        </w:rPr>
        <w:t xml:space="preserve">, </w:t>
      </w:r>
      <w:r>
        <w:rPr>
          <w:sz w:val="20"/>
          <w:szCs w:val="22"/>
          <w:lang w:eastAsia="ja-JP"/>
        </w:rPr>
        <w:t xml:space="preserve">Reno, USA, November 18th </w:t>
      </w:r>
      <w:r>
        <w:rPr>
          <w:rFonts w:hint="eastAsia"/>
          <w:sz w:val="20"/>
          <w:szCs w:val="22"/>
        </w:rPr>
        <w:t>-</w:t>
      </w:r>
      <w:r>
        <w:rPr>
          <w:sz w:val="20"/>
          <w:szCs w:val="22"/>
          <w:lang w:eastAsia="ja-JP"/>
        </w:rPr>
        <w:t xml:space="preserve"> 22nd, 2019</w:t>
      </w:r>
      <w:r>
        <w:rPr>
          <w:sz w:val="20"/>
          <w:szCs w:val="22"/>
        </w:rPr>
        <w:t>.</w:t>
      </w:r>
    </w:p>
    <w:p w:rsidR="00F83EC7" w:rsidRDefault="0054744D" w:rsidP="00F83EC7">
      <w:pPr>
        <w:pStyle w:val="References"/>
        <w:spacing w:before="120" w:after="120" w:line="264" w:lineRule="auto"/>
        <w:ind w:left="363" w:hanging="363"/>
        <w:rPr>
          <w:sz w:val="20"/>
          <w:szCs w:val="22"/>
        </w:rPr>
      </w:pPr>
      <w:r w:rsidRPr="0054744D">
        <w:rPr>
          <w:sz w:val="20"/>
        </w:rPr>
        <w:t>Chairman's Notes RAN1#100b-e final</w:t>
      </w:r>
      <w:r w:rsidR="00E959BB">
        <w:rPr>
          <w:sz w:val="20"/>
        </w:rPr>
        <w:t xml:space="preserve">, </w:t>
      </w:r>
      <w:r w:rsidR="00E959BB">
        <w:rPr>
          <w:rFonts w:hint="eastAsia"/>
          <w:sz w:val="20"/>
          <w:lang w:eastAsia="ja-JP"/>
        </w:rPr>
        <w:t xml:space="preserve">April 20th </w:t>
      </w:r>
      <w:r w:rsidR="00E959BB">
        <w:rPr>
          <w:rFonts w:hint="eastAsia"/>
          <w:sz w:val="20"/>
        </w:rPr>
        <w:t>-</w:t>
      </w:r>
      <w:r w:rsidR="00E959BB">
        <w:rPr>
          <w:rFonts w:hint="eastAsia"/>
          <w:sz w:val="20"/>
          <w:lang w:eastAsia="ja-JP"/>
        </w:rPr>
        <w:t xml:space="preserve"> 30th,</w:t>
      </w:r>
      <w:r w:rsidR="00E959BB">
        <w:rPr>
          <w:sz w:val="20"/>
        </w:rPr>
        <w:t xml:space="preserve"> 2020</w:t>
      </w:r>
      <w:r w:rsidR="00E959BB">
        <w:rPr>
          <w:rFonts w:hint="eastAsia"/>
          <w:sz w:val="20"/>
          <w:szCs w:val="22"/>
        </w:rPr>
        <w:t>.</w:t>
      </w:r>
    </w:p>
    <w:p w:rsidR="00F83EC7" w:rsidRDefault="00E959BB" w:rsidP="00F83EC7">
      <w:pPr>
        <w:pStyle w:val="References"/>
        <w:spacing w:before="120" w:after="120" w:line="264" w:lineRule="auto"/>
        <w:ind w:left="363" w:hanging="363"/>
        <w:rPr>
          <w:sz w:val="20"/>
          <w:szCs w:val="22"/>
        </w:rPr>
      </w:pPr>
      <w:r>
        <w:rPr>
          <w:sz w:val="20"/>
          <w:szCs w:val="22"/>
        </w:rPr>
        <w:t>R1-2003575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 xml:space="preserve">Consideration of </w:t>
      </w:r>
      <w:proofErr w:type="spellStart"/>
      <w:r>
        <w:rPr>
          <w:sz w:val="20"/>
          <w:szCs w:val="22"/>
        </w:rPr>
        <w:t>Sidelink</w:t>
      </w:r>
      <w:proofErr w:type="spellEnd"/>
      <w:r>
        <w:rPr>
          <w:sz w:val="20"/>
          <w:szCs w:val="22"/>
        </w:rPr>
        <w:t xml:space="preserve"> Communication between in coverage and out of coverage UE</w:t>
      </w:r>
      <w:r>
        <w:rPr>
          <w:rFonts w:hint="eastAsia"/>
          <w:sz w:val="20"/>
          <w:szCs w:val="22"/>
        </w:rPr>
        <w:t xml:space="preserve">, </w:t>
      </w:r>
      <w:proofErr w:type="spellStart"/>
      <w:r>
        <w:rPr>
          <w:rFonts w:hint="eastAsia"/>
          <w:sz w:val="20"/>
          <w:szCs w:val="22"/>
        </w:rPr>
        <w:t>ZTE,Sanechips</w:t>
      </w:r>
      <w:proofErr w:type="spellEnd"/>
    </w:p>
    <w:p w:rsidR="00F83EC7" w:rsidRDefault="00F83EC7">
      <w:pPr>
        <w:pStyle w:val="References"/>
        <w:numPr>
          <w:ilvl w:val="0"/>
          <w:numId w:val="0"/>
        </w:numPr>
        <w:spacing w:before="120" w:after="120"/>
        <w:ind w:left="360"/>
        <w:rPr>
          <w:sz w:val="20"/>
          <w:szCs w:val="22"/>
        </w:rPr>
      </w:pPr>
    </w:p>
    <w:bookmarkEnd w:id="29"/>
    <w:p w:rsidR="00F83EC7" w:rsidRDefault="00F83EC7">
      <w:pPr>
        <w:spacing w:before="120" w:after="120"/>
        <w:jc w:val="left"/>
      </w:pPr>
    </w:p>
    <w:p w:rsidR="00F83EC7" w:rsidRDefault="00E959BB">
      <w:pPr>
        <w:pStyle w:val="1"/>
        <w:spacing w:before="120" w:after="120"/>
        <w:ind w:left="0"/>
        <w:rPr>
          <w:sz w:val="20"/>
        </w:rPr>
      </w:pPr>
      <w:r>
        <w:rPr>
          <w:rFonts w:eastAsia="宋体" w:hint="eastAsia"/>
          <w:szCs w:val="22"/>
        </w:rPr>
        <w:lastRenderedPageBreak/>
        <w:t>Appendix</w:t>
      </w:r>
      <w:r>
        <w:rPr>
          <w:rFonts w:hint="eastAsia"/>
        </w:rPr>
        <w:t>:</w:t>
      </w:r>
      <w:r>
        <w:rPr>
          <w:rFonts w:eastAsia="宋体" w:hint="eastAsia"/>
        </w:rPr>
        <w:t xml:space="preserve"> </w:t>
      </w:r>
    </w:p>
    <w:p w:rsidR="00F83EC7" w:rsidRDefault="00F83EC7">
      <w:pPr>
        <w:pStyle w:val="References"/>
        <w:numPr>
          <w:ilvl w:val="0"/>
          <w:numId w:val="0"/>
        </w:numPr>
        <w:spacing w:before="120" w:after="120"/>
        <w:jc w:val="center"/>
        <w:rPr>
          <w:sz w:val="20"/>
        </w:rPr>
      </w:pPr>
    </w:p>
    <w:p w:rsidR="00F83EC7" w:rsidRDefault="00F83EC7">
      <w:pPr>
        <w:pStyle w:val="References"/>
        <w:numPr>
          <w:ilvl w:val="0"/>
          <w:numId w:val="0"/>
        </w:numPr>
        <w:spacing w:before="120" w:after="120"/>
        <w:jc w:val="center"/>
        <w:rPr>
          <w:sz w:val="20"/>
        </w:rPr>
      </w:pPr>
    </w:p>
    <w:p w:rsidR="00F83EC7" w:rsidRDefault="00E959BB">
      <w:pPr>
        <w:pStyle w:val="References"/>
        <w:numPr>
          <w:ilvl w:val="0"/>
          <w:numId w:val="0"/>
        </w:numPr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>Table A Maximum slot numbers for configuration of two patterns</w:t>
      </w:r>
    </w:p>
    <w:tbl>
      <w:tblPr>
        <w:tblStyle w:val="ad"/>
        <w:tblW w:w="8521" w:type="dxa"/>
        <w:jc w:val="center"/>
        <w:tblLayout w:type="fixed"/>
        <w:tblLook w:val="04A0"/>
      </w:tblPr>
      <w:tblGrid>
        <w:gridCol w:w="857"/>
        <w:gridCol w:w="1189"/>
        <w:gridCol w:w="1132"/>
        <w:gridCol w:w="1326"/>
        <w:gridCol w:w="1281"/>
        <w:gridCol w:w="1315"/>
        <w:gridCol w:w="1421"/>
      </w:tblGrid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index</w:t>
            </w:r>
          </w:p>
        </w:tc>
        <w:tc>
          <w:tcPr>
            <w:tcW w:w="1189" w:type="dxa"/>
            <w:shd w:val="clear" w:color="auto" w:fill="F1F1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Period1</w:t>
            </w:r>
          </w:p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(ms)</w:t>
            </w:r>
          </w:p>
        </w:tc>
        <w:tc>
          <w:tcPr>
            <w:tcW w:w="1132" w:type="dxa"/>
            <w:shd w:val="clear" w:color="auto" w:fill="F1F1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Period2</w:t>
            </w:r>
          </w:p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(ms)</w:t>
            </w:r>
          </w:p>
        </w:tc>
        <w:tc>
          <w:tcPr>
            <w:tcW w:w="1326" w:type="dxa"/>
            <w:shd w:val="clear" w:color="auto" w:fill="F1F1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Max Slot number</w:t>
            </w:r>
          </w:p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(SL SCS=15 kHz)</w:t>
            </w:r>
          </w:p>
        </w:tc>
        <w:tc>
          <w:tcPr>
            <w:tcW w:w="1281" w:type="dxa"/>
            <w:shd w:val="clear" w:color="auto" w:fill="F1F1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Max slot number</w:t>
            </w:r>
          </w:p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(SL SCS=30 kHz)</w:t>
            </w:r>
          </w:p>
        </w:tc>
        <w:tc>
          <w:tcPr>
            <w:tcW w:w="1315" w:type="dxa"/>
            <w:shd w:val="clear" w:color="auto" w:fill="F1F1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Max slot number</w:t>
            </w:r>
          </w:p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(SL SCS=60 kHz)</w:t>
            </w:r>
          </w:p>
        </w:tc>
        <w:tc>
          <w:tcPr>
            <w:tcW w:w="1421" w:type="dxa"/>
            <w:shd w:val="clear" w:color="auto" w:fill="F1F1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Max slot number</w:t>
            </w:r>
          </w:p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(SL SCS=120 kHz)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  <w:tc>
          <w:tcPr>
            <w:tcW w:w="1189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0.5</w:t>
            </w:r>
          </w:p>
        </w:tc>
        <w:tc>
          <w:tcPr>
            <w:tcW w:w="1132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0.5</w:t>
            </w:r>
          </w:p>
        </w:tc>
        <w:tc>
          <w:tcPr>
            <w:tcW w:w="1326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/</w:t>
            </w:r>
          </w:p>
        </w:tc>
        <w:tc>
          <w:tcPr>
            <w:tcW w:w="128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(1,1)</w:t>
            </w:r>
          </w:p>
        </w:tc>
        <w:tc>
          <w:tcPr>
            <w:tcW w:w="1315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(2,2)</w:t>
            </w:r>
          </w:p>
        </w:tc>
        <w:tc>
          <w:tcPr>
            <w:tcW w:w="142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(4,4)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189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0.5</w:t>
            </w:r>
          </w:p>
        </w:tc>
        <w:tc>
          <w:tcPr>
            <w:tcW w:w="1132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326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/</w:t>
            </w:r>
          </w:p>
        </w:tc>
        <w:tc>
          <w:tcPr>
            <w:tcW w:w="128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(1,4)</w:t>
            </w:r>
          </w:p>
        </w:tc>
        <w:tc>
          <w:tcPr>
            <w:tcW w:w="1315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(2,8)</w:t>
            </w:r>
          </w:p>
        </w:tc>
        <w:tc>
          <w:tcPr>
            <w:tcW w:w="142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(4,16)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189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0.625</w:t>
            </w:r>
          </w:p>
        </w:tc>
        <w:tc>
          <w:tcPr>
            <w:tcW w:w="1132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0.625</w:t>
            </w:r>
          </w:p>
        </w:tc>
        <w:tc>
          <w:tcPr>
            <w:tcW w:w="1326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/</w:t>
            </w:r>
          </w:p>
        </w:tc>
        <w:tc>
          <w:tcPr>
            <w:tcW w:w="128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/</w:t>
            </w:r>
          </w:p>
        </w:tc>
        <w:tc>
          <w:tcPr>
            <w:tcW w:w="1315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/</w:t>
            </w:r>
          </w:p>
        </w:tc>
        <w:tc>
          <w:tcPr>
            <w:tcW w:w="142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(5,5)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189" w:type="dxa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132" w:type="dxa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326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(1,1)</w:t>
            </w:r>
          </w:p>
        </w:tc>
        <w:tc>
          <w:tcPr>
            <w:tcW w:w="128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(2,2)</w:t>
            </w:r>
          </w:p>
        </w:tc>
        <w:tc>
          <w:tcPr>
            <w:tcW w:w="1315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(4,4)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(8,8)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189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326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(1,3)</w:t>
            </w:r>
          </w:p>
        </w:tc>
        <w:tc>
          <w:tcPr>
            <w:tcW w:w="128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(2,6)</w:t>
            </w:r>
          </w:p>
        </w:tc>
        <w:tc>
          <w:tcPr>
            <w:tcW w:w="1315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(4,12)</w:t>
            </w:r>
          </w:p>
        </w:tc>
        <w:tc>
          <w:tcPr>
            <w:tcW w:w="1421" w:type="dxa"/>
            <w:shd w:val="clear" w:color="auto" w:fill="FFFF00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(8,24)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189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326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(1,4)</w:t>
            </w:r>
          </w:p>
        </w:tc>
        <w:tc>
          <w:tcPr>
            <w:tcW w:w="128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(2,8)</w:t>
            </w:r>
          </w:p>
        </w:tc>
        <w:tc>
          <w:tcPr>
            <w:tcW w:w="1315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(4,16)</w:t>
            </w:r>
          </w:p>
        </w:tc>
        <w:tc>
          <w:tcPr>
            <w:tcW w:w="1421" w:type="dxa"/>
            <w:shd w:val="clear" w:color="auto" w:fill="FFFF00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(8,32)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1189" w:type="dxa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1.25</w:t>
            </w:r>
          </w:p>
        </w:tc>
        <w:tc>
          <w:tcPr>
            <w:tcW w:w="1132" w:type="dxa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1.25</w:t>
            </w:r>
          </w:p>
        </w:tc>
        <w:tc>
          <w:tcPr>
            <w:tcW w:w="1326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/</w:t>
            </w:r>
          </w:p>
        </w:tc>
        <w:tc>
          <w:tcPr>
            <w:tcW w:w="128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/</w:t>
            </w:r>
          </w:p>
        </w:tc>
        <w:tc>
          <w:tcPr>
            <w:tcW w:w="1315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(5,5)</w:t>
            </w:r>
          </w:p>
        </w:tc>
        <w:tc>
          <w:tcPr>
            <w:tcW w:w="142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(10,10)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1189" w:type="dxa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132" w:type="dxa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0.5</w:t>
            </w:r>
          </w:p>
        </w:tc>
        <w:tc>
          <w:tcPr>
            <w:tcW w:w="1326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/</w:t>
            </w:r>
          </w:p>
        </w:tc>
        <w:tc>
          <w:tcPr>
            <w:tcW w:w="128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(4,1)</w:t>
            </w:r>
          </w:p>
        </w:tc>
        <w:tc>
          <w:tcPr>
            <w:tcW w:w="1315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(8,2)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(16,4)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8</w:t>
            </w:r>
          </w:p>
        </w:tc>
        <w:tc>
          <w:tcPr>
            <w:tcW w:w="1189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326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(2,2)</w:t>
            </w:r>
          </w:p>
        </w:tc>
        <w:tc>
          <w:tcPr>
            <w:tcW w:w="128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(4,4)</w:t>
            </w:r>
          </w:p>
        </w:tc>
        <w:tc>
          <w:tcPr>
            <w:tcW w:w="1315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(8,8)</w:t>
            </w:r>
          </w:p>
        </w:tc>
        <w:tc>
          <w:tcPr>
            <w:tcW w:w="1421" w:type="dxa"/>
            <w:shd w:val="clear" w:color="auto" w:fill="FFFF00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(16,16)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</w:p>
        </w:tc>
        <w:tc>
          <w:tcPr>
            <w:tcW w:w="1189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326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(2,3)</w:t>
            </w:r>
          </w:p>
        </w:tc>
        <w:tc>
          <w:tcPr>
            <w:tcW w:w="128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(4,6)</w:t>
            </w:r>
          </w:p>
        </w:tc>
        <w:tc>
          <w:tcPr>
            <w:tcW w:w="1315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(8,12)</w:t>
            </w:r>
          </w:p>
        </w:tc>
        <w:tc>
          <w:tcPr>
            <w:tcW w:w="1421" w:type="dxa"/>
            <w:shd w:val="clear" w:color="auto" w:fill="FFFF00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(16,24)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189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2.5</w:t>
            </w:r>
          </w:p>
        </w:tc>
        <w:tc>
          <w:tcPr>
            <w:tcW w:w="1132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2.5</w:t>
            </w:r>
          </w:p>
        </w:tc>
        <w:tc>
          <w:tcPr>
            <w:tcW w:w="1326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/</w:t>
            </w:r>
          </w:p>
        </w:tc>
        <w:tc>
          <w:tcPr>
            <w:tcW w:w="128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(5,5)</w:t>
            </w:r>
          </w:p>
        </w:tc>
        <w:tc>
          <w:tcPr>
            <w:tcW w:w="1315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(10,10)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FFF00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(20,20)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11</w:t>
            </w:r>
          </w:p>
        </w:tc>
        <w:tc>
          <w:tcPr>
            <w:tcW w:w="1189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326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(3,1)</w:t>
            </w:r>
          </w:p>
        </w:tc>
        <w:tc>
          <w:tcPr>
            <w:tcW w:w="128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(6,2)</w:t>
            </w:r>
          </w:p>
        </w:tc>
        <w:tc>
          <w:tcPr>
            <w:tcW w:w="1315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(12,4)</w:t>
            </w:r>
          </w:p>
        </w:tc>
        <w:tc>
          <w:tcPr>
            <w:tcW w:w="1421" w:type="dxa"/>
            <w:shd w:val="clear" w:color="auto" w:fill="FFFF00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(24,8)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12</w:t>
            </w:r>
          </w:p>
        </w:tc>
        <w:tc>
          <w:tcPr>
            <w:tcW w:w="1189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326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(3,2)</w:t>
            </w:r>
          </w:p>
        </w:tc>
        <w:tc>
          <w:tcPr>
            <w:tcW w:w="128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(6,4)</w:t>
            </w:r>
          </w:p>
        </w:tc>
        <w:tc>
          <w:tcPr>
            <w:tcW w:w="1315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(12,8)</w:t>
            </w:r>
          </w:p>
        </w:tc>
        <w:tc>
          <w:tcPr>
            <w:tcW w:w="1421" w:type="dxa"/>
            <w:shd w:val="clear" w:color="auto" w:fill="FFFF00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(24,16)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13</w:t>
            </w:r>
          </w:p>
        </w:tc>
        <w:tc>
          <w:tcPr>
            <w:tcW w:w="1189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132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326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(4,1)</w:t>
            </w:r>
          </w:p>
        </w:tc>
        <w:tc>
          <w:tcPr>
            <w:tcW w:w="128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(8,2)</w:t>
            </w:r>
          </w:p>
        </w:tc>
        <w:tc>
          <w:tcPr>
            <w:tcW w:w="1315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(16,4)</w:t>
            </w:r>
          </w:p>
        </w:tc>
        <w:tc>
          <w:tcPr>
            <w:tcW w:w="1421" w:type="dxa"/>
            <w:shd w:val="clear" w:color="auto" w:fill="FFFF00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(32,8)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14</w:t>
            </w:r>
          </w:p>
        </w:tc>
        <w:tc>
          <w:tcPr>
            <w:tcW w:w="1189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132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326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(5,5)</w:t>
            </w:r>
          </w:p>
        </w:tc>
        <w:tc>
          <w:tcPr>
            <w:tcW w:w="128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(10,10)</w:t>
            </w:r>
          </w:p>
        </w:tc>
        <w:tc>
          <w:tcPr>
            <w:tcW w:w="1315" w:type="dxa"/>
            <w:shd w:val="clear" w:color="auto" w:fill="FFFF00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(20,20)</w:t>
            </w:r>
          </w:p>
        </w:tc>
        <w:tc>
          <w:tcPr>
            <w:tcW w:w="1421" w:type="dxa"/>
            <w:shd w:val="clear" w:color="auto" w:fill="FFFF00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(40,40)</w:t>
            </w:r>
          </w:p>
        </w:tc>
      </w:tr>
      <w:tr w:rsidR="00F83EC7">
        <w:trPr>
          <w:jc w:val="center"/>
        </w:trPr>
        <w:tc>
          <w:tcPr>
            <w:tcW w:w="857" w:type="dxa"/>
            <w:shd w:val="clear" w:color="auto" w:fill="C7DAF1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15</w:t>
            </w:r>
          </w:p>
        </w:tc>
        <w:tc>
          <w:tcPr>
            <w:tcW w:w="1189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132" w:type="dxa"/>
            <w:shd w:val="clear" w:color="auto" w:fill="auto"/>
          </w:tcPr>
          <w:p w:rsidR="00F83EC7" w:rsidRDefault="00E959BB">
            <w:pPr>
              <w:spacing w:before="120" w:after="120" w:line="22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326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(10,10)</w:t>
            </w:r>
          </w:p>
        </w:tc>
        <w:tc>
          <w:tcPr>
            <w:tcW w:w="1281" w:type="dxa"/>
            <w:shd w:val="clear" w:color="auto" w:fill="FFFF00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(20,20)</w:t>
            </w:r>
          </w:p>
        </w:tc>
        <w:tc>
          <w:tcPr>
            <w:tcW w:w="1315" w:type="dxa"/>
            <w:shd w:val="clear" w:color="auto" w:fill="FFFF00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(40,40)</w:t>
            </w:r>
          </w:p>
        </w:tc>
        <w:tc>
          <w:tcPr>
            <w:tcW w:w="1421" w:type="dxa"/>
            <w:shd w:val="clear" w:color="auto" w:fill="FFFF00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(80,80)</w:t>
            </w:r>
          </w:p>
        </w:tc>
      </w:tr>
    </w:tbl>
    <w:p w:rsidR="00F83EC7" w:rsidRDefault="00F83EC7">
      <w:pPr>
        <w:pStyle w:val="References"/>
        <w:numPr>
          <w:ilvl w:val="0"/>
          <w:numId w:val="0"/>
        </w:numPr>
        <w:spacing w:before="120" w:after="120"/>
        <w:rPr>
          <w:sz w:val="20"/>
        </w:rPr>
      </w:pPr>
    </w:p>
    <w:p w:rsidR="00F83EC7" w:rsidRDefault="00F83EC7">
      <w:pPr>
        <w:pStyle w:val="References"/>
        <w:numPr>
          <w:ilvl w:val="0"/>
          <w:numId w:val="0"/>
        </w:numPr>
        <w:spacing w:before="120" w:after="120"/>
        <w:jc w:val="center"/>
        <w:rPr>
          <w:sz w:val="20"/>
        </w:rPr>
      </w:pPr>
    </w:p>
    <w:p w:rsidR="0054744D" w:rsidRDefault="0054744D">
      <w:pPr>
        <w:pStyle w:val="References"/>
        <w:numPr>
          <w:ilvl w:val="0"/>
          <w:numId w:val="0"/>
        </w:numPr>
        <w:spacing w:before="120" w:after="120"/>
        <w:jc w:val="center"/>
        <w:rPr>
          <w:sz w:val="20"/>
        </w:rPr>
      </w:pPr>
    </w:p>
    <w:p w:rsidR="00F83EC7" w:rsidRDefault="00E959BB">
      <w:pPr>
        <w:pStyle w:val="References"/>
        <w:numPr>
          <w:ilvl w:val="0"/>
          <w:numId w:val="0"/>
        </w:numPr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 xml:space="preserve">Table B bits needed for indication based on </w:t>
      </w:r>
      <w:proofErr w:type="spellStart"/>
      <w:r>
        <w:rPr>
          <w:rFonts w:hint="eastAsia"/>
          <w:sz w:val="20"/>
        </w:rPr>
        <w:t>RefSCS</w:t>
      </w:r>
      <w:proofErr w:type="spellEnd"/>
      <w:r>
        <w:rPr>
          <w:rFonts w:hint="eastAsia"/>
          <w:sz w:val="20"/>
        </w:rPr>
        <w:t xml:space="preserve"> </w:t>
      </w:r>
    </w:p>
    <w:tbl>
      <w:tblPr>
        <w:tblStyle w:val="ad"/>
        <w:tblW w:w="8521" w:type="dxa"/>
        <w:jc w:val="center"/>
        <w:tblLayout w:type="fixed"/>
        <w:tblLook w:val="04A0"/>
      </w:tblPr>
      <w:tblGrid>
        <w:gridCol w:w="738"/>
        <w:gridCol w:w="858"/>
        <w:gridCol w:w="1130"/>
        <w:gridCol w:w="1131"/>
        <w:gridCol w:w="1189"/>
        <w:gridCol w:w="1200"/>
        <w:gridCol w:w="1211"/>
        <w:gridCol w:w="1064"/>
      </w:tblGrid>
      <w:tr w:rsidR="00F83EC7">
        <w:trPr>
          <w:jc w:val="center"/>
        </w:trPr>
        <w:tc>
          <w:tcPr>
            <w:tcW w:w="738" w:type="dxa"/>
            <w:shd w:val="clear" w:color="auto" w:fill="D7D7D7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index</w:t>
            </w:r>
          </w:p>
        </w:tc>
        <w:tc>
          <w:tcPr>
            <w:tcW w:w="858" w:type="dxa"/>
            <w:shd w:val="clear" w:color="auto" w:fill="D7D7D7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SL SCS </w:t>
            </w:r>
          </w:p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(kHz)</w:t>
            </w:r>
          </w:p>
        </w:tc>
        <w:tc>
          <w:tcPr>
            <w:tcW w:w="1130" w:type="dxa"/>
            <w:shd w:val="clear" w:color="auto" w:fill="D7D7D7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(P1, P2)</w:t>
            </w:r>
          </w:p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（</w:t>
            </w:r>
            <w:r>
              <w:rPr>
                <w:rFonts w:hint="eastAsia"/>
                <w:sz w:val="20"/>
              </w:rPr>
              <w:t>ms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1131" w:type="dxa"/>
            <w:shd w:val="clear" w:color="auto" w:fill="D7D7D7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Max slot number</w:t>
            </w:r>
          </w:p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(SL SCS)</w:t>
            </w:r>
          </w:p>
        </w:tc>
        <w:tc>
          <w:tcPr>
            <w:tcW w:w="1189" w:type="dxa"/>
            <w:shd w:val="clear" w:color="auto" w:fill="D7D7D7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Scaling granularity</w:t>
            </w:r>
          </w:p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(slot)</w:t>
            </w:r>
          </w:p>
        </w:tc>
        <w:tc>
          <w:tcPr>
            <w:tcW w:w="1200" w:type="dxa"/>
            <w:shd w:val="clear" w:color="auto" w:fill="D7D7D7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Number of indication bit (</w:t>
            </w:r>
            <w:proofErr w:type="spellStart"/>
            <w:r>
              <w:rPr>
                <w:rFonts w:hint="eastAsia"/>
                <w:sz w:val="20"/>
              </w:rPr>
              <w:t>RefSCS</w:t>
            </w:r>
            <w:proofErr w:type="spellEnd"/>
            <w:r>
              <w:rPr>
                <w:rFonts w:hint="eastAsia"/>
                <w:sz w:val="20"/>
              </w:rPr>
              <w:t>)</w:t>
            </w:r>
          </w:p>
        </w:tc>
        <w:tc>
          <w:tcPr>
            <w:tcW w:w="1211" w:type="dxa"/>
            <w:shd w:val="clear" w:color="auto" w:fill="D7D7D7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Redundant bit</w:t>
            </w:r>
          </w:p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(Z=7 bits)</w:t>
            </w:r>
          </w:p>
        </w:tc>
        <w:tc>
          <w:tcPr>
            <w:tcW w:w="1064" w:type="dxa"/>
            <w:shd w:val="clear" w:color="auto" w:fill="D7D7D7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proofErr w:type="spellStart"/>
            <w:r>
              <w:rPr>
                <w:rFonts w:hint="eastAsia"/>
                <w:sz w:val="20"/>
              </w:rPr>
              <w:t>RefSCS</w:t>
            </w:r>
            <w:proofErr w:type="spellEnd"/>
          </w:p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(kHz)</w:t>
            </w:r>
          </w:p>
        </w:tc>
      </w:tr>
      <w:tr w:rsidR="00F83EC7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858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120</w:t>
            </w:r>
          </w:p>
        </w:tc>
        <w:tc>
          <w:tcPr>
            <w:tcW w:w="1130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(1, 3)</w:t>
            </w:r>
          </w:p>
        </w:tc>
        <w:tc>
          <w:tcPr>
            <w:tcW w:w="113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(8, 24)</w:t>
            </w:r>
          </w:p>
        </w:tc>
        <w:tc>
          <w:tcPr>
            <w:tcW w:w="1189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064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</w:tr>
      <w:tr w:rsidR="00F83EC7">
        <w:trPr>
          <w:jc w:val="center"/>
        </w:trPr>
        <w:tc>
          <w:tcPr>
            <w:tcW w:w="738" w:type="dxa"/>
            <w:vMerge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858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0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89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2</w:t>
            </w:r>
          </w:p>
        </w:tc>
        <w:tc>
          <w:tcPr>
            <w:tcW w:w="1200" w:type="dxa"/>
            <w:shd w:val="clear" w:color="auto" w:fill="C0504D" w:themeFill="accent2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6</w:t>
            </w:r>
          </w:p>
        </w:tc>
        <w:tc>
          <w:tcPr>
            <w:tcW w:w="121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1</w:t>
            </w:r>
          </w:p>
        </w:tc>
        <w:tc>
          <w:tcPr>
            <w:tcW w:w="1064" w:type="dxa"/>
            <w:shd w:val="clear" w:color="auto" w:fill="9BBB59" w:themeFill="accent3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60</w:t>
            </w:r>
          </w:p>
        </w:tc>
      </w:tr>
      <w:tr w:rsidR="00F83EC7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858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120</w:t>
            </w:r>
          </w:p>
        </w:tc>
        <w:tc>
          <w:tcPr>
            <w:tcW w:w="1130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(1, 4)</w:t>
            </w:r>
          </w:p>
        </w:tc>
        <w:tc>
          <w:tcPr>
            <w:tcW w:w="113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(8, 32)</w:t>
            </w:r>
          </w:p>
        </w:tc>
        <w:tc>
          <w:tcPr>
            <w:tcW w:w="1189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064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</w:tr>
      <w:tr w:rsidR="00F83EC7">
        <w:trPr>
          <w:jc w:val="center"/>
        </w:trPr>
        <w:tc>
          <w:tcPr>
            <w:tcW w:w="738" w:type="dxa"/>
            <w:vMerge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858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0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89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2</w:t>
            </w:r>
          </w:p>
        </w:tc>
        <w:tc>
          <w:tcPr>
            <w:tcW w:w="1200" w:type="dxa"/>
            <w:shd w:val="clear" w:color="auto" w:fill="C0504D" w:themeFill="accent2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6</w:t>
            </w:r>
          </w:p>
        </w:tc>
        <w:tc>
          <w:tcPr>
            <w:tcW w:w="121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1</w:t>
            </w:r>
          </w:p>
        </w:tc>
        <w:tc>
          <w:tcPr>
            <w:tcW w:w="1064" w:type="dxa"/>
            <w:shd w:val="clear" w:color="auto" w:fill="9BBB59" w:themeFill="accent3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60</w:t>
            </w:r>
          </w:p>
        </w:tc>
      </w:tr>
      <w:tr w:rsidR="00F83EC7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858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120</w:t>
            </w:r>
          </w:p>
        </w:tc>
        <w:tc>
          <w:tcPr>
            <w:tcW w:w="1130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(2, 2)</w:t>
            </w:r>
          </w:p>
        </w:tc>
        <w:tc>
          <w:tcPr>
            <w:tcW w:w="113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(16, 16)</w:t>
            </w:r>
          </w:p>
        </w:tc>
        <w:tc>
          <w:tcPr>
            <w:tcW w:w="1189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064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</w:tr>
      <w:tr w:rsidR="00F83EC7">
        <w:trPr>
          <w:jc w:val="center"/>
        </w:trPr>
        <w:tc>
          <w:tcPr>
            <w:tcW w:w="738" w:type="dxa"/>
            <w:vMerge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858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0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89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2</w:t>
            </w:r>
          </w:p>
        </w:tc>
        <w:tc>
          <w:tcPr>
            <w:tcW w:w="1200" w:type="dxa"/>
            <w:shd w:val="clear" w:color="auto" w:fill="C0504D" w:themeFill="accent2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6</w:t>
            </w:r>
          </w:p>
        </w:tc>
        <w:tc>
          <w:tcPr>
            <w:tcW w:w="121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1</w:t>
            </w:r>
          </w:p>
        </w:tc>
        <w:tc>
          <w:tcPr>
            <w:tcW w:w="1064" w:type="dxa"/>
            <w:shd w:val="clear" w:color="auto" w:fill="9BBB59" w:themeFill="accent3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60</w:t>
            </w:r>
          </w:p>
        </w:tc>
      </w:tr>
      <w:tr w:rsidR="00F83EC7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858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120</w:t>
            </w:r>
          </w:p>
        </w:tc>
        <w:tc>
          <w:tcPr>
            <w:tcW w:w="1130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(2, 3)</w:t>
            </w:r>
          </w:p>
        </w:tc>
        <w:tc>
          <w:tcPr>
            <w:tcW w:w="113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(16, 24)</w:t>
            </w:r>
          </w:p>
        </w:tc>
        <w:tc>
          <w:tcPr>
            <w:tcW w:w="1189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064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</w:tr>
      <w:tr w:rsidR="00F83EC7">
        <w:trPr>
          <w:jc w:val="center"/>
        </w:trPr>
        <w:tc>
          <w:tcPr>
            <w:tcW w:w="738" w:type="dxa"/>
            <w:vMerge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858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0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89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2</w:t>
            </w:r>
          </w:p>
        </w:tc>
        <w:tc>
          <w:tcPr>
            <w:tcW w:w="1200" w:type="dxa"/>
            <w:shd w:val="clear" w:color="auto" w:fill="FFFF00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7</w:t>
            </w:r>
          </w:p>
        </w:tc>
        <w:tc>
          <w:tcPr>
            <w:tcW w:w="121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0</w:t>
            </w:r>
          </w:p>
        </w:tc>
        <w:tc>
          <w:tcPr>
            <w:tcW w:w="1064" w:type="dxa"/>
            <w:shd w:val="clear" w:color="auto" w:fill="9BBB59" w:themeFill="accent3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60</w:t>
            </w:r>
          </w:p>
        </w:tc>
      </w:tr>
      <w:tr w:rsidR="00F83EC7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858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120</w:t>
            </w:r>
          </w:p>
        </w:tc>
        <w:tc>
          <w:tcPr>
            <w:tcW w:w="1130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(2.5,  2.5)</w:t>
            </w:r>
          </w:p>
        </w:tc>
        <w:tc>
          <w:tcPr>
            <w:tcW w:w="113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(20, 20)</w:t>
            </w:r>
          </w:p>
        </w:tc>
        <w:tc>
          <w:tcPr>
            <w:tcW w:w="1189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064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</w:tr>
      <w:tr w:rsidR="00F83EC7">
        <w:trPr>
          <w:jc w:val="center"/>
        </w:trPr>
        <w:tc>
          <w:tcPr>
            <w:tcW w:w="738" w:type="dxa"/>
            <w:vMerge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858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0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89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2</w:t>
            </w:r>
          </w:p>
        </w:tc>
        <w:tc>
          <w:tcPr>
            <w:tcW w:w="1200" w:type="dxa"/>
            <w:shd w:val="clear" w:color="auto" w:fill="FFFF00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7</w:t>
            </w:r>
          </w:p>
        </w:tc>
        <w:tc>
          <w:tcPr>
            <w:tcW w:w="121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0</w:t>
            </w:r>
          </w:p>
        </w:tc>
        <w:tc>
          <w:tcPr>
            <w:tcW w:w="1064" w:type="dxa"/>
            <w:shd w:val="clear" w:color="auto" w:fill="9BBB59" w:themeFill="accent3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60</w:t>
            </w:r>
          </w:p>
        </w:tc>
      </w:tr>
      <w:tr w:rsidR="00F83EC7">
        <w:trPr>
          <w:jc w:val="center"/>
        </w:trPr>
        <w:tc>
          <w:tcPr>
            <w:tcW w:w="738" w:type="dxa"/>
            <w:vMerge w:val="restart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858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120</w:t>
            </w:r>
          </w:p>
        </w:tc>
        <w:tc>
          <w:tcPr>
            <w:tcW w:w="1130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(3, 1)</w:t>
            </w:r>
          </w:p>
        </w:tc>
        <w:tc>
          <w:tcPr>
            <w:tcW w:w="113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(24, 8)</w:t>
            </w:r>
          </w:p>
        </w:tc>
        <w:tc>
          <w:tcPr>
            <w:tcW w:w="1189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064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</w:tr>
      <w:tr w:rsidR="00F83EC7">
        <w:trPr>
          <w:jc w:val="center"/>
        </w:trPr>
        <w:tc>
          <w:tcPr>
            <w:tcW w:w="738" w:type="dxa"/>
            <w:vMerge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858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0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89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2</w:t>
            </w:r>
          </w:p>
        </w:tc>
        <w:tc>
          <w:tcPr>
            <w:tcW w:w="1200" w:type="dxa"/>
            <w:shd w:val="clear" w:color="auto" w:fill="C0504D" w:themeFill="accent2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6</w:t>
            </w:r>
          </w:p>
        </w:tc>
        <w:tc>
          <w:tcPr>
            <w:tcW w:w="121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1</w:t>
            </w:r>
          </w:p>
        </w:tc>
        <w:tc>
          <w:tcPr>
            <w:tcW w:w="1064" w:type="dxa"/>
            <w:shd w:val="clear" w:color="auto" w:fill="9BBB59" w:themeFill="accent3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60</w:t>
            </w:r>
          </w:p>
        </w:tc>
      </w:tr>
      <w:tr w:rsidR="00F83EC7">
        <w:trPr>
          <w:jc w:val="center"/>
        </w:trPr>
        <w:tc>
          <w:tcPr>
            <w:tcW w:w="738" w:type="dxa"/>
            <w:vMerge w:val="restart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858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120</w:t>
            </w:r>
          </w:p>
        </w:tc>
        <w:tc>
          <w:tcPr>
            <w:tcW w:w="1130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(3, 2)</w:t>
            </w:r>
          </w:p>
        </w:tc>
        <w:tc>
          <w:tcPr>
            <w:tcW w:w="113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(24, 16)</w:t>
            </w:r>
          </w:p>
        </w:tc>
        <w:tc>
          <w:tcPr>
            <w:tcW w:w="1189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064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</w:tr>
      <w:tr w:rsidR="00F83EC7">
        <w:trPr>
          <w:jc w:val="center"/>
        </w:trPr>
        <w:tc>
          <w:tcPr>
            <w:tcW w:w="738" w:type="dxa"/>
            <w:vMerge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858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0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89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2</w:t>
            </w:r>
          </w:p>
        </w:tc>
        <w:tc>
          <w:tcPr>
            <w:tcW w:w="1200" w:type="dxa"/>
            <w:shd w:val="clear" w:color="auto" w:fill="FFFF00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7</w:t>
            </w:r>
          </w:p>
        </w:tc>
        <w:tc>
          <w:tcPr>
            <w:tcW w:w="121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0</w:t>
            </w:r>
          </w:p>
        </w:tc>
        <w:tc>
          <w:tcPr>
            <w:tcW w:w="1064" w:type="dxa"/>
            <w:shd w:val="clear" w:color="auto" w:fill="9BBB59" w:themeFill="accent3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60</w:t>
            </w:r>
          </w:p>
        </w:tc>
      </w:tr>
      <w:tr w:rsidR="00F83EC7">
        <w:trPr>
          <w:jc w:val="center"/>
        </w:trPr>
        <w:tc>
          <w:tcPr>
            <w:tcW w:w="738" w:type="dxa"/>
            <w:vMerge w:val="restart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8</w:t>
            </w:r>
          </w:p>
        </w:tc>
        <w:tc>
          <w:tcPr>
            <w:tcW w:w="858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120</w:t>
            </w:r>
          </w:p>
        </w:tc>
        <w:tc>
          <w:tcPr>
            <w:tcW w:w="1130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(4, 1)</w:t>
            </w:r>
          </w:p>
        </w:tc>
        <w:tc>
          <w:tcPr>
            <w:tcW w:w="113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(32, 8)</w:t>
            </w:r>
          </w:p>
        </w:tc>
        <w:tc>
          <w:tcPr>
            <w:tcW w:w="1189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064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</w:tr>
      <w:tr w:rsidR="00F83EC7">
        <w:trPr>
          <w:jc w:val="center"/>
        </w:trPr>
        <w:tc>
          <w:tcPr>
            <w:tcW w:w="738" w:type="dxa"/>
            <w:vMerge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858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0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89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2</w:t>
            </w:r>
          </w:p>
        </w:tc>
        <w:tc>
          <w:tcPr>
            <w:tcW w:w="1200" w:type="dxa"/>
            <w:shd w:val="clear" w:color="auto" w:fill="C0504D" w:themeFill="accent2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6</w:t>
            </w:r>
          </w:p>
        </w:tc>
        <w:tc>
          <w:tcPr>
            <w:tcW w:w="121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1</w:t>
            </w:r>
          </w:p>
        </w:tc>
        <w:tc>
          <w:tcPr>
            <w:tcW w:w="1064" w:type="dxa"/>
            <w:shd w:val="clear" w:color="auto" w:fill="9BBB59" w:themeFill="accent3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60</w:t>
            </w:r>
          </w:p>
        </w:tc>
      </w:tr>
      <w:tr w:rsidR="00F83EC7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</w:p>
        </w:tc>
        <w:tc>
          <w:tcPr>
            <w:tcW w:w="858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120</w:t>
            </w:r>
          </w:p>
        </w:tc>
        <w:tc>
          <w:tcPr>
            <w:tcW w:w="1130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(5, 5)</w:t>
            </w:r>
          </w:p>
        </w:tc>
        <w:tc>
          <w:tcPr>
            <w:tcW w:w="113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(40, 40)</w:t>
            </w:r>
          </w:p>
        </w:tc>
        <w:tc>
          <w:tcPr>
            <w:tcW w:w="1189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064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</w:tr>
      <w:tr w:rsidR="00F83EC7">
        <w:trPr>
          <w:jc w:val="center"/>
        </w:trPr>
        <w:tc>
          <w:tcPr>
            <w:tcW w:w="738" w:type="dxa"/>
            <w:vMerge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858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0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89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4</w:t>
            </w:r>
          </w:p>
        </w:tc>
        <w:tc>
          <w:tcPr>
            <w:tcW w:w="1200" w:type="dxa"/>
            <w:shd w:val="clear" w:color="auto" w:fill="FFFF00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7</w:t>
            </w:r>
          </w:p>
        </w:tc>
        <w:tc>
          <w:tcPr>
            <w:tcW w:w="121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0</w:t>
            </w:r>
          </w:p>
        </w:tc>
        <w:tc>
          <w:tcPr>
            <w:tcW w:w="1064" w:type="dxa"/>
            <w:shd w:val="clear" w:color="auto" w:fill="FBD4B4" w:themeFill="accent6" w:themeFillTint="66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30</w:t>
            </w:r>
          </w:p>
        </w:tc>
      </w:tr>
      <w:tr w:rsidR="00F83EC7">
        <w:trPr>
          <w:jc w:val="center"/>
        </w:trPr>
        <w:tc>
          <w:tcPr>
            <w:tcW w:w="738" w:type="dxa"/>
            <w:vMerge w:val="restart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858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120</w:t>
            </w:r>
          </w:p>
        </w:tc>
        <w:tc>
          <w:tcPr>
            <w:tcW w:w="1130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(10, 10)</w:t>
            </w:r>
          </w:p>
        </w:tc>
        <w:tc>
          <w:tcPr>
            <w:tcW w:w="113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(80, 80)</w:t>
            </w:r>
          </w:p>
        </w:tc>
        <w:tc>
          <w:tcPr>
            <w:tcW w:w="1189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064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</w:tr>
      <w:tr w:rsidR="00F83EC7">
        <w:trPr>
          <w:jc w:val="center"/>
        </w:trPr>
        <w:tc>
          <w:tcPr>
            <w:tcW w:w="738" w:type="dxa"/>
            <w:vMerge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858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0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89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8</w:t>
            </w:r>
          </w:p>
        </w:tc>
        <w:tc>
          <w:tcPr>
            <w:tcW w:w="1200" w:type="dxa"/>
            <w:shd w:val="clear" w:color="auto" w:fill="FFFF00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7</w:t>
            </w:r>
          </w:p>
        </w:tc>
        <w:tc>
          <w:tcPr>
            <w:tcW w:w="121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0</w:t>
            </w:r>
          </w:p>
        </w:tc>
        <w:tc>
          <w:tcPr>
            <w:tcW w:w="1064" w:type="dxa"/>
            <w:shd w:val="clear" w:color="auto" w:fill="00B0F0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15</w:t>
            </w:r>
          </w:p>
        </w:tc>
      </w:tr>
      <w:tr w:rsidR="00F83EC7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11</w:t>
            </w:r>
          </w:p>
        </w:tc>
        <w:tc>
          <w:tcPr>
            <w:tcW w:w="858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60</w:t>
            </w:r>
          </w:p>
        </w:tc>
        <w:tc>
          <w:tcPr>
            <w:tcW w:w="1130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(5, 5)</w:t>
            </w:r>
          </w:p>
        </w:tc>
        <w:tc>
          <w:tcPr>
            <w:tcW w:w="113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(20, 20)</w:t>
            </w:r>
          </w:p>
        </w:tc>
        <w:tc>
          <w:tcPr>
            <w:tcW w:w="1189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064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</w:tr>
      <w:tr w:rsidR="00F83EC7">
        <w:trPr>
          <w:jc w:val="center"/>
        </w:trPr>
        <w:tc>
          <w:tcPr>
            <w:tcW w:w="738" w:type="dxa"/>
            <w:vMerge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858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0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89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2</w:t>
            </w:r>
          </w:p>
        </w:tc>
        <w:tc>
          <w:tcPr>
            <w:tcW w:w="1200" w:type="dxa"/>
            <w:shd w:val="clear" w:color="auto" w:fill="FFFF00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7</w:t>
            </w:r>
          </w:p>
        </w:tc>
        <w:tc>
          <w:tcPr>
            <w:tcW w:w="121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0</w:t>
            </w:r>
          </w:p>
        </w:tc>
        <w:tc>
          <w:tcPr>
            <w:tcW w:w="1064" w:type="dxa"/>
            <w:shd w:val="clear" w:color="auto" w:fill="FBD4B4" w:themeFill="accent6" w:themeFillTint="66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30</w:t>
            </w:r>
          </w:p>
        </w:tc>
      </w:tr>
      <w:tr w:rsidR="00F83EC7">
        <w:trPr>
          <w:jc w:val="center"/>
        </w:trPr>
        <w:tc>
          <w:tcPr>
            <w:tcW w:w="738" w:type="dxa"/>
            <w:vMerge w:val="restart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12</w:t>
            </w:r>
          </w:p>
        </w:tc>
        <w:tc>
          <w:tcPr>
            <w:tcW w:w="858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60</w:t>
            </w:r>
          </w:p>
        </w:tc>
        <w:tc>
          <w:tcPr>
            <w:tcW w:w="1130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(10, 10)</w:t>
            </w:r>
          </w:p>
        </w:tc>
        <w:tc>
          <w:tcPr>
            <w:tcW w:w="1131" w:type="dxa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(40, 40)</w:t>
            </w:r>
          </w:p>
        </w:tc>
        <w:tc>
          <w:tcPr>
            <w:tcW w:w="1189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064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</w:tr>
      <w:tr w:rsidR="00F83EC7">
        <w:trPr>
          <w:jc w:val="center"/>
        </w:trPr>
        <w:tc>
          <w:tcPr>
            <w:tcW w:w="738" w:type="dxa"/>
            <w:vMerge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858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0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89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4</w:t>
            </w:r>
          </w:p>
        </w:tc>
        <w:tc>
          <w:tcPr>
            <w:tcW w:w="1200" w:type="dxa"/>
            <w:shd w:val="clear" w:color="auto" w:fill="FFFF00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7</w:t>
            </w:r>
          </w:p>
        </w:tc>
        <w:tc>
          <w:tcPr>
            <w:tcW w:w="121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0</w:t>
            </w:r>
          </w:p>
        </w:tc>
        <w:tc>
          <w:tcPr>
            <w:tcW w:w="1064" w:type="dxa"/>
            <w:shd w:val="clear" w:color="auto" w:fill="00B0F0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15</w:t>
            </w:r>
          </w:p>
        </w:tc>
      </w:tr>
      <w:tr w:rsidR="00F83EC7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13</w:t>
            </w:r>
          </w:p>
        </w:tc>
        <w:tc>
          <w:tcPr>
            <w:tcW w:w="858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30</w:t>
            </w:r>
          </w:p>
        </w:tc>
        <w:tc>
          <w:tcPr>
            <w:tcW w:w="1130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(10, 10)</w:t>
            </w:r>
          </w:p>
        </w:tc>
        <w:tc>
          <w:tcPr>
            <w:tcW w:w="1131" w:type="dxa"/>
            <w:shd w:val="clear" w:color="auto" w:fill="auto"/>
          </w:tcPr>
          <w:p w:rsidR="00F83EC7" w:rsidRDefault="00E959BB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(20, 20)</w:t>
            </w:r>
          </w:p>
        </w:tc>
        <w:tc>
          <w:tcPr>
            <w:tcW w:w="1189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00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064" w:type="dxa"/>
            <w:shd w:val="clear" w:color="auto" w:fill="auto"/>
          </w:tcPr>
          <w:p w:rsid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</w:tr>
      <w:tr w:rsidR="00F83EC7">
        <w:trPr>
          <w:jc w:val="center"/>
        </w:trPr>
        <w:tc>
          <w:tcPr>
            <w:tcW w:w="738" w:type="dxa"/>
            <w:vMerge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858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0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3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</w:p>
        </w:tc>
        <w:tc>
          <w:tcPr>
            <w:tcW w:w="1189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2</w:t>
            </w:r>
          </w:p>
        </w:tc>
        <w:tc>
          <w:tcPr>
            <w:tcW w:w="1200" w:type="dxa"/>
            <w:shd w:val="clear" w:color="auto" w:fill="FFFF00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7</w:t>
            </w:r>
          </w:p>
        </w:tc>
        <w:tc>
          <w:tcPr>
            <w:tcW w:w="1211" w:type="dxa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0</w:t>
            </w:r>
          </w:p>
        </w:tc>
        <w:tc>
          <w:tcPr>
            <w:tcW w:w="1064" w:type="dxa"/>
            <w:shd w:val="clear" w:color="auto" w:fill="00B0F0"/>
          </w:tcPr>
          <w:p w:rsidR="00F83EC7" w:rsidRPr="00F83EC7" w:rsidRDefault="00F83EC7">
            <w:pPr>
              <w:pStyle w:val="YJ--"/>
              <w:spacing w:before="120" w:after="120"/>
              <w:ind w:firstLineChars="0" w:firstLine="0"/>
              <w:rPr>
                <w:sz w:val="20"/>
              </w:rPr>
            </w:pPr>
            <w:r w:rsidRPr="00F83EC7">
              <w:rPr>
                <w:sz w:val="20"/>
              </w:rPr>
              <w:t>15</w:t>
            </w:r>
          </w:p>
        </w:tc>
      </w:tr>
    </w:tbl>
    <w:p w:rsidR="00F83EC7" w:rsidRDefault="00F83EC7">
      <w:pPr>
        <w:pStyle w:val="References"/>
        <w:numPr>
          <w:ilvl w:val="0"/>
          <w:numId w:val="0"/>
        </w:numPr>
        <w:spacing w:before="120" w:after="120"/>
        <w:rPr>
          <w:sz w:val="20"/>
        </w:rPr>
      </w:pPr>
    </w:p>
    <w:p w:rsidR="00F83EC7" w:rsidRDefault="00F83EC7">
      <w:pPr>
        <w:pStyle w:val="References"/>
        <w:numPr>
          <w:ilvl w:val="0"/>
          <w:numId w:val="0"/>
        </w:numPr>
        <w:spacing w:before="120" w:after="120"/>
        <w:rPr>
          <w:sz w:val="20"/>
        </w:rPr>
      </w:pPr>
    </w:p>
    <w:p w:rsidR="00F83EC7" w:rsidRDefault="00F83EC7">
      <w:pPr>
        <w:pStyle w:val="References"/>
        <w:numPr>
          <w:ilvl w:val="0"/>
          <w:numId w:val="0"/>
        </w:numPr>
        <w:spacing w:before="120" w:after="120"/>
        <w:rPr>
          <w:sz w:val="20"/>
        </w:rPr>
      </w:pPr>
    </w:p>
    <w:p w:rsidR="00F83EC7" w:rsidRDefault="00F83EC7">
      <w:pPr>
        <w:pStyle w:val="References"/>
        <w:numPr>
          <w:ilvl w:val="0"/>
          <w:numId w:val="0"/>
        </w:numPr>
        <w:spacing w:before="120" w:after="120"/>
        <w:rPr>
          <w:sz w:val="20"/>
        </w:rPr>
      </w:pPr>
    </w:p>
    <w:sectPr w:rsidR="00F83EC7" w:rsidSect="00F83E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EE0" w:rsidRDefault="00571EE0" w:rsidP="00062587">
      <w:pPr>
        <w:spacing w:before="120" w:after="120" w:line="240" w:lineRule="auto"/>
      </w:pPr>
      <w:r>
        <w:separator/>
      </w:r>
    </w:p>
  </w:endnote>
  <w:endnote w:type="continuationSeparator" w:id="0">
    <w:p w:rsidR="00571EE0" w:rsidRDefault="00571EE0" w:rsidP="00062587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EC7" w:rsidRDefault="00F83EC7">
    <w:pPr>
      <w:pStyle w:val="a8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78739702"/>
    </w:sdtPr>
    <w:sdtContent>
      <w:p w:rsidR="00F83EC7" w:rsidRDefault="00094391">
        <w:pPr>
          <w:pStyle w:val="a8"/>
          <w:spacing w:before="120" w:after="120"/>
          <w:jc w:val="center"/>
        </w:pPr>
        <w:r>
          <w:fldChar w:fldCharType="begin"/>
        </w:r>
        <w:r w:rsidR="00E959BB">
          <w:instrText xml:space="preserve"> PAGE   \* MERGEFORMAT </w:instrText>
        </w:r>
        <w:r>
          <w:fldChar w:fldCharType="separate"/>
        </w:r>
        <w:r w:rsidR="00940719">
          <w:rPr>
            <w:noProof/>
          </w:rPr>
          <w:t>4</w:t>
        </w:r>
        <w:r>
          <w:fldChar w:fldCharType="end"/>
        </w:r>
      </w:p>
    </w:sdtContent>
  </w:sdt>
  <w:p w:rsidR="00F83EC7" w:rsidRDefault="00F83EC7">
    <w:pPr>
      <w:pStyle w:val="a8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EC7" w:rsidRDefault="00F83EC7">
    <w:pPr>
      <w:pStyle w:val="a8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EE0" w:rsidRDefault="00571EE0" w:rsidP="00062587">
      <w:pPr>
        <w:spacing w:before="120" w:after="120" w:line="240" w:lineRule="auto"/>
      </w:pPr>
      <w:r>
        <w:separator/>
      </w:r>
    </w:p>
  </w:footnote>
  <w:footnote w:type="continuationSeparator" w:id="0">
    <w:p w:rsidR="00571EE0" w:rsidRDefault="00571EE0" w:rsidP="00062587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EC7" w:rsidRDefault="00F83EC7">
    <w:pPr>
      <w:pStyle w:val="a9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EC7" w:rsidRDefault="00F83EC7">
    <w:pPr>
      <w:pStyle w:val="a9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EC7" w:rsidRDefault="00F83EC7">
    <w:pPr>
      <w:pStyle w:val="a9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60EA85"/>
    <w:multiLevelType w:val="singleLevel"/>
    <w:tmpl w:val="8C60EA85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sz w:val="13"/>
      </w:rPr>
    </w:lvl>
  </w:abstractNum>
  <w:abstractNum w:abstractNumId="1">
    <w:nsid w:val="BB5C08C5"/>
    <w:multiLevelType w:val="singleLevel"/>
    <w:tmpl w:val="BB5C08C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</w:abstractNum>
  <w:abstractNum w:abstractNumId="2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3">
    <w:nsid w:val="009A54C8"/>
    <w:multiLevelType w:val="multilevel"/>
    <w:tmpl w:val="009A54C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098E408A"/>
    <w:multiLevelType w:val="multilevel"/>
    <w:tmpl w:val="098E408A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>
    <w:nsid w:val="1219FFBF"/>
    <w:multiLevelType w:val="multilevel"/>
    <w:tmpl w:val="1219FFBF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7">
    <w:nsid w:val="2E85702A"/>
    <w:multiLevelType w:val="multilevel"/>
    <w:tmpl w:val="2E85702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9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851"/>
        </w:tabs>
        <w:ind w:left="851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9ED3F3B"/>
    <w:multiLevelType w:val="hybridMultilevel"/>
    <w:tmpl w:val="E1E6CE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CE6692A"/>
    <w:multiLevelType w:val="multilevel"/>
    <w:tmpl w:val="4CE66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AA73B7"/>
    <w:multiLevelType w:val="multilevel"/>
    <w:tmpl w:val="77AA73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10"/>
  </w:num>
  <w:num w:numId="6">
    <w:abstractNumId w:val="12"/>
  </w:num>
  <w:num w:numId="7">
    <w:abstractNumId w:val="13"/>
  </w:num>
  <w:num w:numId="8">
    <w:abstractNumId w:val="3"/>
  </w:num>
  <w:num w:numId="9">
    <w:abstractNumId w:val="1"/>
  </w:num>
  <w:num w:numId="10">
    <w:abstractNumId w:val="6"/>
  </w:num>
  <w:num w:numId="11">
    <w:abstractNumId w:val="0"/>
  </w:num>
  <w:num w:numId="12">
    <w:abstractNumId w:val="7"/>
  </w:num>
  <w:num w:numId="13">
    <w:abstractNumId w:val="4"/>
  </w:num>
  <w:num w:numId="14">
    <w:abstractNumId w:val="11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SH">
    <w15:presenceInfo w15:providerId="None" w15:userId="HSH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53E5"/>
    <w:rsid w:val="000372D0"/>
    <w:rsid w:val="0004524A"/>
    <w:rsid w:val="000453D9"/>
    <w:rsid w:val="0005179E"/>
    <w:rsid w:val="00056725"/>
    <w:rsid w:val="000607EF"/>
    <w:rsid w:val="00062587"/>
    <w:rsid w:val="00071880"/>
    <w:rsid w:val="00077402"/>
    <w:rsid w:val="0008017C"/>
    <w:rsid w:val="0008205E"/>
    <w:rsid w:val="00091DCF"/>
    <w:rsid w:val="00093326"/>
    <w:rsid w:val="00094391"/>
    <w:rsid w:val="000A63FB"/>
    <w:rsid w:val="000B3CA1"/>
    <w:rsid w:val="000E0F4C"/>
    <w:rsid w:val="000E2171"/>
    <w:rsid w:val="000E4972"/>
    <w:rsid w:val="000E7A14"/>
    <w:rsid w:val="000F711C"/>
    <w:rsid w:val="00111767"/>
    <w:rsid w:val="00112386"/>
    <w:rsid w:val="00114622"/>
    <w:rsid w:val="00116DC3"/>
    <w:rsid w:val="00117190"/>
    <w:rsid w:val="00120767"/>
    <w:rsid w:val="00120C26"/>
    <w:rsid w:val="00125E5A"/>
    <w:rsid w:val="00127FD1"/>
    <w:rsid w:val="001312CF"/>
    <w:rsid w:val="00136BCF"/>
    <w:rsid w:val="00140FE6"/>
    <w:rsid w:val="00142609"/>
    <w:rsid w:val="001523A1"/>
    <w:rsid w:val="00152915"/>
    <w:rsid w:val="00157D82"/>
    <w:rsid w:val="00161543"/>
    <w:rsid w:val="0016284F"/>
    <w:rsid w:val="00165EC6"/>
    <w:rsid w:val="00166272"/>
    <w:rsid w:val="00172A27"/>
    <w:rsid w:val="00173C0D"/>
    <w:rsid w:val="00175941"/>
    <w:rsid w:val="00180430"/>
    <w:rsid w:val="00181E53"/>
    <w:rsid w:val="001825C8"/>
    <w:rsid w:val="00191934"/>
    <w:rsid w:val="00192C57"/>
    <w:rsid w:val="001A60FC"/>
    <w:rsid w:val="001B405D"/>
    <w:rsid w:val="001B6D3D"/>
    <w:rsid w:val="001C748A"/>
    <w:rsid w:val="001E0477"/>
    <w:rsid w:val="001E08F5"/>
    <w:rsid w:val="001E2AF1"/>
    <w:rsid w:val="001E50BF"/>
    <w:rsid w:val="001E60B9"/>
    <w:rsid w:val="001F1184"/>
    <w:rsid w:val="001F1C01"/>
    <w:rsid w:val="001F2857"/>
    <w:rsid w:val="001F4357"/>
    <w:rsid w:val="001F5C75"/>
    <w:rsid w:val="00207DA2"/>
    <w:rsid w:val="00214E86"/>
    <w:rsid w:val="00217F2A"/>
    <w:rsid w:val="00220685"/>
    <w:rsid w:val="00222DA2"/>
    <w:rsid w:val="00222F9F"/>
    <w:rsid w:val="0022395D"/>
    <w:rsid w:val="00232A88"/>
    <w:rsid w:val="00234F99"/>
    <w:rsid w:val="0023770C"/>
    <w:rsid w:val="00245398"/>
    <w:rsid w:val="00246CC4"/>
    <w:rsid w:val="00270B8E"/>
    <w:rsid w:val="00272ACF"/>
    <w:rsid w:val="00273B1C"/>
    <w:rsid w:val="0028196A"/>
    <w:rsid w:val="002819A6"/>
    <w:rsid w:val="00283657"/>
    <w:rsid w:val="0028770B"/>
    <w:rsid w:val="002A2546"/>
    <w:rsid w:val="002B229E"/>
    <w:rsid w:val="002B50B2"/>
    <w:rsid w:val="002D56E8"/>
    <w:rsid w:val="002D5FDD"/>
    <w:rsid w:val="002F4E7E"/>
    <w:rsid w:val="002F67C8"/>
    <w:rsid w:val="003008A9"/>
    <w:rsid w:val="00302B9D"/>
    <w:rsid w:val="0032486E"/>
    <w:rsid w:val="00326089"/>
    <w:rsid w:val="00330BF2"/>
    <w:rsid w:val="0033115F"/>
    <w:rsid w:val="00335F51"/>
    <w:rsid w:val="00342F3A"/>
    <w:rsid w:val="00347A5A"/>
    <w:rsid w:val="003559C9"/>
    <w:rsid w:val="003578CD"/>
    <w:rsid w:val="0036046B"/>
    <w:rsid w:val="00361A45"/>
    <w:rsid w:val="00370278"/>
    <w:rsid w:val="0037339F"/>
    <w:rsid w:val="00382652"/>
    <w:rsid w:val="00382B10"/>
    <w:rsid w:val="00385556"/>
    <w:rsid w:val="00385953"/>
    <w:rsid w:val="003876BE"/>
    <w:rsid w:val="003A2D17"/>
    <w:rsid w:val="003A39E0"/>
    <w:rsid w:val="003A4C30"/>
    <w:rsid w:val="003B06E4"/>
    <w:rsid w:val="003D30A1"/>
    <w:rsid w:val="003F2471"/>
    <w:rsid w:val="00413BC8"/>
    <w:rsid w:val="00417987"/>
    <w:rsid w:val="00423AA0"/>
    <w:rsid w:val="004411E0"/>
    <w:rsid w:val="00443667"/>
    <w:rsid w:val="0044742C"/>
    <w:rsid w:val="00450CF8"/>
    <w:rsid w:val="00455A4B"/>
    <w:rsid w:val="0046113B"/>
    <w:rsid w:val="00470890"/>
    <w:rsid w:val="00472DFE"/>
    <w:rsid w:val="00477DFF"/>
    <w:rsid w:val="00483053"/>
    <w:rsid w:val="004838CD"/>
    <w:rsid w:val="00496355"/>
    <w:rsid w:val="004A2951"/>
    <w:rsid w:val="004A3E48"/>
    <w:rsid w:val="004B3973"/>
    <w:rsid w:val="004B7C90"/>
    <w:rsid w:val="004C03F4"/>
    <w:rsid w:val="004C093B"/>
    <w:rsid w:val="004C2904"/>
    <w:rsid w:val="004C6342"/>
    <w:rsid w:val="004E2374"/>
    <w:rsid w:val="004E4A03"/>
    <w:rsid w:val="004E6441"/>
    <w:rsid w:val="004F4066"/>
    <w:rsid w:val="0050011E"/>
    <w:rsid w:val="005001FD"/>
    <w:rsid w:val="00500D18"/>
    <w:rsid w:val="00511F09"/>
    <w:rsid w:val="00516641"/>
    <w:rsid w:val="00521E64"/>
    <w:rsid w:val="005224AC"/>
    <w:rsid w:val="00537D61"/>
    <w:rsid w:val="00544690"/>
    <w:rsid w:val="00544878"/>
    <w:rsid w:val="0054744D"/>
    <w:rsid w:val="0055256B"/>
    <w:rsid w:val="0056167F"/>
    <w:rsid w:val="00571EE0"/>
    <w:rsid w:val="00574466"/>
    <w:rsid w:val="005758A9"/>
    <w:rsid w:val="00580FB5"/>
    <w:rsid w:val="005816C3"/>
    <w:rsid w:val="00584DF3"/>
    <w:rsid w:val="00592BD1"/>
    <w:rsid w:val="005A0E61"/>
    <w:rsid w:val="005B065E"/>
    <w:rsid w:val="005C2DA2"/>
    <w:rsid w:val="005D28C0"/>
    <w:rsid w:val="005D3FC1"/>
    <w:rsid w:val="005F5803"/>
    <w:rsid w:val="0060158E"/>
    <w:rsid w:val="006045B4"/>
    <w:rsid w:val="00610816"/>
    <w:rsid w:val="00611B5E"/>
    <w:rsid w:val="0062346F"/>
    <w:rsid w:val="00641170"/>
    <w:rsid w:val="00651A03"/>
    <w:rsid w:val="006576E1"/>
    <w:rsid w:val="00660851"/>
    <w:rsid w:val="006642DF"/>
    <w:rsid w:val="0066469D"/>
    <w:rsid w:val="00674C8F"/>
    <w:rsid w:val="00675430"/>
    <w:rsid w:val="00676D81"/>
    <w:rsid w:val="00685F5D"/>
    <w:rsid w:val="006B2DF3"/>
    <w:rsid w:val="006B6969"/>
    <w:rsid w:val="006C0A62"/>
    <w:rsid w:val="006C0EEC"/>
    <w:rsid w:val="006C3DF7"/>
    <w:rsid w:val="006D5F6B"/>
    <w:rsid w:val="006E3667"/>
    <w:rsid w:val="006E6591"/>
    <w:rsid w:val="006F103A"/>
    <w:rsid w:val="006F3AD3"/>
    <w:rsid w:val="007046AD"/>
    <w:rsid w:val="00704A7B"/>
    <w:rsid w:val="007104C2"/>
    <w:rsid w:val="0071278C"/>
    <w:rsid w:val="00716258"/>
    <w:rsid w:val="00716E47"/>
    <w:rsid w:val="0072357D"/>
    <w:rsid w:val="00727240"/>
    <w:rsid w:val="00732E10"/>
    <w:rsid w:val="00732F21"/>
    <w:rsid w:val="00740910"/>
    <w:rsid w:val="00744286"/>
    <w:rsid w:val="0075459B"/>
    <w:rsid w:val="00756660"/>
    <w:rsid w:val="00763F5B"/>
    <w:rsid w:val="00770ECA"/>
    <w:rsid w:val="00773954"/>
    <w:rsid w:val="007908B6"/>
    <w:rsid w:val="00794B55"/>
    <w:rsid w:val="007953B4"/>
    <w:rsid w:val="007B0CA2"/>
    <w:rsid w:val="007D1EE2"/>
    <w:rsid w:val="00802B20"/>
    <w:rsid w:val="00813B72"/>
    <w:rsid w:val="00820DCE"/>
    <w:rsid w:val="00831D71"/>
    <w:rsid w:val="00831E94"/>
    <w:rsid w:val="00843625"/>
    <w:rsid w:val="00844A3A"/>
    <w:rsid w:val="008464D0"/>
    <w:rsid w:val="008477D3"/>
    <w:rsid w:val="00862978"/>
    <w:rsid w:val="008650D6"/>
    <w:rsid w:val="0088127E"/>
    <w:rsid w:val="00881F6A"/>
    <w:rsid w:val="00883D73"/>
    <w:rsid w:val="00891B59"/>
    <w:rsid w:val="00896E39"/>
    <w:rsid w:val="008A55AF"/>
    <w:rsid w:val="008B4CF1"/>
    <w:rsid w:val="008D0E09"/>
    <w:rsid w:val="008D1C5E"/>
    <w:rsid w:val="008E254F"/>
    <w:rsid w:val="00901319"/>
    <w:rsid w:val="00906310"/>
    <w:rsid w:val="009063FA"/>
    <w:rsid w:val="009118C7"/>
    <w:rsid w:val="009173D4"/>
    <w:rsid w:val="00921C7D"/>
    <w:rsid w:val="009312F6"/>
    <w:rsid w:val="009321AD"/>
    <w:rsid w:val="00937802"/>
    <w:rsid w:val="00940719"/>
    <w:rsid w:val="00945B11"/>
    <w:rsid w:val="009473D2"/>
    <w:rsid w:val="00952A6B"/>
    <w:rsid w:val="00956389"/>
    <w:rsid w:val="0096044C"/>
    <w:rsid w:val="009714A0"/>
    <w:rsid w:val="0098623A"/>
    <w:rsid w:val="0099012C"/>
    <w:rsid w:val="00994D1F"/>
    <w:rsid w:val="009A5D6D"/>
    <w:rsid w:val="009A6849"/>
    <w:rsid w:val="009B2670"/>
    <w:rsid w:val="009B5BB8"/>
    <w:rsid w:val="009C2193"/>
    <w:rsid w:val="009D3582"/>
    <w:rsid w:val="009F20F3"/>
    <w:rsid w:val="00A00AF9"/>
    <w:rsid w:val="00A045D1"/>
    <w:rsid w:val="00A156E0"/>
    <w:rsid w:val="00A16E29"/>
    <w:rsid w:val="00A229A5"/>
    <w:rsid w:val="00A30C4C"/>
    <w:rsid w:val="00A400ED"/>
    <w:rsid w:val="00A42B46"/>
    <w:rsid w:val="00A434D8"/>
    <w:rsid w:val="00A7255C"/>
    <w:rsid w:val="00A737DB"/>
    <w:rsid w:val="00A84353"/>
    <w:rsid w:val="00A8770E"/>
    <w:rsid w:val="00A91242"/>
    <w:rsid w:val="00A95A9E"/>
    <w:rsid w:val="00A97E9A"/>
    <w:rsid w:val="00AA0BA1"/>
    <w:rsid w:val="00AA2034"/>
    <w:rsid w:val="00AA537D"/>
    <w:rsid w:val="00AA5678"/>
    <w:rsid w:val="00AB0321"/>
    <w:rsid w:val="00AC2228"/>
    <w:rsid w:val="00AC6D62"/>
    <w:rsid w:val="00AD2E2D"/>
    <w:rsid w:val="00AD6854"/>
    <w:rsid w:val="00AE0C98"/>
    <w:rsid w:val="00AE2650"/>
    <w:rsid w:val="00AE7047"/>
    <w:rsid w:val="00AF1466"/>
    <w:rsid w:val="00B06B46"/>
    <w:rsid w:val="00B241C1"/>
    <w:rsid w:val="00B25CA9"/>
    <w:rsid w:val="00B26359"/>
    <w:rsid w:val="00B32F4B"/>
    <w:rsid w:val="00B3398E"/>
    <w:rsid w:val="00B36E91"/>
    <w:rsid w:val="00B461B5"/>
    <w:rsid w:val="00B55921"/>
    <w:rsid w:val="00B6277C"/>
    <w:rsid w:val="00B7258E"/>
    <w:rsid w:val="00B751B0"/>
    <w:rsid w:val="00B86D32"/>
    <w:rsid w:val="00B90D34"/>
    <w:rsid w:val="00B90F32"/>
    <w:rsid w:val="00BA241C"/>
    <w:rsid w:val="00BA480A"/>
    <w:rsid w:val="00BA63CB"/>
    <w:rsid w:val="00BB39E5"/>
    <w:rsid w:val="00BB4E07"/>
    <w:rsid w:val="00BB778D"/>
    <w:rsid w:val="00BC07DA"/>
    <w:rsid w:val="00BD0615"/>
    <w:rsid w:val="00BD3654"/>
    <w:rsid w:val="00BE1FE3"/>
    <w:rsid w:val="00BF7456"/>
    <w:rsid w:val="00BF75E4"/>
    <w:rsid w:val="00C0741A"/>
    <w:rsid w:val="00C17446"/>
    <w:rsid w:val="00C24AC0"/>
    <w:rsid w:val="00C250EB"/>
    <w:rsid w:val="00C31461"/>
    <w:rsid w:val="00C33D27"/>
    <w:rsid w:val="00C3542E"/>
    <w:rsid w:val="00C6073B"/>
    <w:rsid w:val="00C60DFC"/>
    <w:rsid w:val="00C638B9"/>
    <w:rsid w:val="00C67E98"/>
    <w:rsid w:val="00C75EFD"/>
    <w:rsid w:val="00C76D03"/>
    <w:rsid w:val="00C77578"/>
    <w:rsid w:val="00C83EFD"/>
    <w:rsid w:val="00C86292"/>
    <w:rsid w:val="00C91343"/>
    <w:rsid w:val="00C914E3"/>
    <w:rsid w:val="00C9580B"/>
    <w:rsid w:val="00CA22FA"/>
    <w:rsid w:val="00CA2422"/>
    <w:rsid w:val="00CA33EA"/>
    <w:rsid w:val="00CB4BD7"/>
    <w:rsid w:val="00CC0D38"/>
    <w:rsid w:val="00CD0CCE"/>
    <w:rsid w:val="00CD343B"/>
    <w:rsid w:val="00CD3B4E"/>
    <w:rsid w:val="00CE3574"/>
    <w:rsid w:val="00CF63DC"/>
    <w:rsid w:val="00D15D46"/>
    <w:rsid w:val="00D21995"/>
    <w:rsid w:val="00D22B9B"/>
    <w:rsid w:val="00D32044"/>
    <w:rsid w:val="00D41695"/>
    <w:rsid w:val="00D4516F"/>
    <w:rsid w:val="00D52FA7"/>
    <w:rsid w:val="00D53564"/>
    <w:rsid w:val="00D654D7"/>
    <w:rsid w:val="00D67DEE"/>
    <w:rsid w:val="00D77581"/>
    <w:rsid w:val="00D80EFF"/>
    <w:rsid w:val="00D81E99"/>
    <w:rsid w:val="00DA2BAD"/>
    <w:rsid w:val="00DB1BD0"/>
    <w:rsid w:val="00DB7EF0"/>
    <w:rsid w:val="00DD2C65"/>
    <w:rsid w:val="00DD42D6"/>
    <w:rsid w:val="00DD59FC"/>
    <w:rsid w:val="00DD5CCE"/>
    <w:rsid w:val="00DD7C95"/>
    <w:rsid w:val="00DF648A"/>
    <w:rsid w:val="00DF70C7"/>
    <w:rsid w:val="00E01A3A"/>
    <w:rsid w:val="00E11B77"/>
    <w:rsid w:val="00E13EF8"/>
    <w:rsid w:val="00E16C89"/>
    <w:rsid w:val="00E2043C"/>
    <w:rsid w:val="00E211EC"/>
    <w:rsid w:val="00E2368E"/>
    <w:rsid w:val="00E307EA"/>
    <w:rsid w:val="00E30D69"/>
    <w:rsid w:val="00E33BB9"/>
    <w:rsid w:val="00E34CA8"/>
    <w:rsid w:val="00E34E11"/>
    <w:rsid w:val="00E52F7D"/>
    <w:rsid w:val="00E5577D"/>
    <w:rsid w:val="00E719BB"/>
    <w:rsid w:val="00E73D3E"/>
    <w:rsid w:val="00E86A07"/>
    <w:rsid w:val="00E922B3"/>
    <w:rsid w:val="00E959BB"/>
    <w:rsid w:val="00EA143E"/>
    <w:rsid w:val="00EA43F5"/>
    <w:rsid w:val="00EA6474"/>
    <w:rsid w:val="00EB0CB9"/>
    <w:rsid w:val="00EB4D81"/>
    <w:rsid w:val="00EB5201"/>
    <w:rsid w:val="00EC3ACE"/>
    <w:rsid w:val="00EC5A5D"/>
    <w:rsid w:val="00ED6318"/>
    <w:rsid w:val="00ED7E1D"/>
    <w:rsid w:val="00EE150A"/>
    <w:rsid w:val="00EF010E"/>
    <w:rsid w:val="00EF3278"/>
    <w:rsid w:val="00EF631E"/>
    <w:rsid w:val="00F01451"/>
    <w:rsid w:val="00F02189"/>
    <w:rsid w:val="00F15EF5"/>
    <w:rsid w:val="00F17092"/>
    <w:rsid w:val="00F17EF0"/>
    <w:rsid w:val="00F25546"/>
    <w:rsid w:val="00F26649"/>
    <w:rsid w:val="00F363A7"/>
    <w:rsid w:val="00F36831"/>
    <w:rsid w:val="00F51AC7"/>
    <w:rsid w:val="00F657C5"/>
    <w:rsid w:val="00F6644B"/>
    <w:rsid w:val="00F76731"/>
    <w:rsid w:val="00F7743D"/>
    <w:rsid w:val="00F80221"/>
    <w:rsid w:val="00F802A5"/>
    <w:rsid w:val="00F83EC7"/>
    <w:rsid w:val="00F912BF"/>
    <w:rsid w:val="00F9546F"/>
    <w:rsid w:val="00F96C4C"/>
    <w:rsid w:val="00F97DCF"/>
    <w:rsid w:val="00FA792B"/>
    <w:rsid w:val="00FA7E66"/>
    <w:rsid w:val="00FC0FB4"/>
    <w:rsid w:val="00FC1270"/>
    <w:rsid w:val="00FD302D"/>
    <w:rsid w:val="00FD38A5"/>
    <w:rsid w:val="00FD4840"/>
    <w:rsid w:val="00FD7796"/>
    <w:rsid w:val="00FE0451"/>
    <w:rsid w:val="00FE42BB"/>
    <w:rsid w:val="00FE450C"/>
    <w:rsid w:val="01063FDD"/>
    <w:rsid w:val="01590D80"/>
    <w:rsid w:val="015C6038"/>
    <w:rsid w:val="01764F01"/>
    <w:rsid w:val="018D4531"/>
    <w:rsid w:val="0192655C"/>
    <w:rsid w:val="01A43026"/>
    <w:rsid w:val="01CF2763"/>
    <w:rsid w:val="01F11F06"/>
    <w:rsid w:val="01F42955"/>
    <w:rsid w:val="020759FB"/>
    <w:rsid w:val="02152066"/>
    <w:rsid w:val="02415AE9"/>
    <w:rsid w:val="024D6B6A"/>
    <w:rsid w:val="02773C10"/>
    <w:rsid w:val="029B04E7"/>
    <w:rsid w:val="02A11299"/>
    <w:rsid w:val="02CA63B6"/>
    <w:rsid w:val="02E14AFA"/>
    <w:rsid w:val="02E52B54"/>
    <w:rsid w:val="02F4589D"/>
    <w:rsid w:val="03073BDC"/>
    <w:rsid w:val="03223454"/>
    <w:rsid w:val="032D1211"/>
    <w:rsid w:val="03377B59"/>
    <w:rsid w:val="035D6208"/>
    <w:rsid w:val="036812CA"/>
    <w:rsid w:val="037E4DDF"/>
    <w:rsid w:val="039840C1"/>
    <w:rsid w:val="03CF62C8"/>
    <w:rsid w:val="03E639BF"/>
    <w:rsid w:val="03EB417D"/>
    <w:rsid w:val="040C57BE"/>
    <w:rsid w:val="041142FD"/>
    <w:rsid w:val="042601E7"/>
    <w:rsid w:val="04586B2C"/>
    <w:rsid w:val="04AB078C"/>
    <w:rsid w:val="04F86D2E"/>
    <w:rsid w:val="052226B2"/>
    <w:rsid w:val="0555228E"/>
    <w:rsid w:val="05617160"/>
    <w:rsid w:val="05741531"/>
    <w:rsid w:val="05786163"/>
    <w:rsid w:val="05873C3B"/>
    <w:rsid w:val="059D44C6"/>
    <w:rsid w:val="05B964D1"/>
    <w:rsid w:val="05E078B3"/>
    <w:rsid w:val="06207EBA"/>
    <w:rsid w:val="062302A0"/>
    <w:rsid w:val="06303CF4"/>
    <w:rsid w:val="06777738"/>
    <w:rsid w:val="06A40B3F"/>
    <w:rsid w:val="06C22938"/>
    <w:rsid w:val="073354F4"/>
    <w:rsid w:val="07357A9B"/>
    <w:rsid w:val="07523101"/>
    <w:rsid w:val="077D0583"/>
    <w:rsid w:val="07CD7FFF"/>
    <w:rsid w:val="082A352F"/>
    <w:rsid w:val="082F3868"/>
    <w:rsid w:val="084F392E"/>
    <w:rsid w:val="08582555"/>
    <w:rsid w:val="08B62E37"/>
    <w:rsid w:val="08D33208"/>
    <w:rsid w:val="08E43084"/>
    <w:rsid w:val="08EF3D63"/>
    <w:rsid w:val="09043349"/>
    <w:rsid w:val="09121169"/>
    <w:rsid w:val="09616B12"/>
    <w:rsid w:val="09C4249A"/>
    <w:rsid w:val="09CF0713"/>
    <w:rsid w:val="09E94681"/>
    <w:rsid w:val="09F53074"/>
    <w:rsid w:val="09F67CD5"/>
    <w:rsid w:val="0A0E0BDB"/>
    <w:rsid w:val="0AAF1B8D"/>
    <w:rsid w:val="0ABD3D52"/>
    <w:rsid w:val="0AE909F4"/>
    <w:rsid w:val="0B1F5739"/>
    <w:rsid w:val="0B231540"/>
    <w:rsid w:val="0B3B577B"/>
    <w:rsid w:val="0B6635C8"/>
    <w:rsid w:val="0B9C1F5A"/>
    <w:rsid w:val="0B9E71DF"/>
    <w:rsid w:val="0C2B533F"/>
    <w:rsid w:val="0C5A38D6"/>
    <w:rsid w:val="0C5D5DE5"/>
    <w:rsid w:val="0C7E17A4"/>
    <w:rsid w:val="0C8F00CD"/>
    <w:rsid w:val="0CCC78E8"/>
    <w:rsid w:val="0D3C4579"/>
    <w:rsid w:val="0D4725BB"/>
    <w:rsid w:val="0DA90499"/>
    <w:rsid w:val="0DC67FA3"/>
    <w:rsid w:val="0DF92462"/>
    <w:rsid w:val="0DFB7B7E"/>
    <w:rsid w:val="0E0F7418"/>
    <w:rsid w:val="0E1924F9"/>
    <w:rsid w:val="0E231066"/>
    <w:rsid w:val="0E473123"/>
    <w:rsid w:val="0E4B4D62"/>
    <w:rsid w:val="0E971A22"/>
    <w:rsid w:val="0EFD0F8D"/>
    <w:rsid w:val="0F1D0AB3"/>
    <w:rsid w:val="0F3578A8"/>
    <w:rsid w:val="0F753F88"/>
    <w:rsid w:val="0FBE53D1"/>
    <w:rsid w:val="0FDA42B3"/>
    <w:rsid w:val="0FF333C0"/>
    <w:rsid w:val="0FFC3132"/>
    <w:rsid w:val="1032499B"/>
    <w:rsid w:val="109801C7"/>
    <w:rsid w:val="10A50104"/>
    <w:rsid w:val="11484590"/>
    <w:rsid w:val="117002AB"/>
    <w:rsid w:val="119D7849"/>
    <w:rsid w:val="11DF49D4"/>
    <w:rsid w:val="12033130"/>
    <w:rsid w:val="121D4407"/>
    <w:rsid w:val="1238326D"/>
    <w:rsid w:val="127079C3"/>
    <w:rsid w:val="12E6166C"/>
    <w:rsid w:val="1310523B"/>
    <w:rsid w:val="131B5A82"/>
    <w:rsid w:val="131E692A"/>
    <w:rsid w:val="134A4B58"/>
    <w:rsid w:val="136337DD"/>
    <w:rsid w:val="13685751"/>
    <w:rsid w:val="13B53B5E"/>
    <w:rsid w:val="13CC3BA1"/>
    <w:rsid w:val="13DF4776"/>
    <w:rsid w:val="13E61748"/>
    <w:rsid w:val="13FD416E"/>
    <w:rsid w:val="14075467"/>
    <w:rsid w:val="1409255F"/>
    <w:rsid w:val="1433415E"/>
    <w:rsid w:val="14AE1554"/>
    <w:rsid w:val="14C124FA"/>
    <w:rsid w:val="14D256F6"/>
    <w:rsid w:val="14DA3DA1"/>
    <w:rsid w:val="14ED6B46"/>
    <w:rsid w:val="14FA6E68"/>
    <w:rsid w:val="150024E9"/>
    <w:rsid w:val="150A38E1"/>
    <w:rsid w:val="152F3570"/>
    <w:rsid w:val="15AE1695"/>
    <w:rsid w:val="15E43EBB"/>
    <w:rsid w:val="15F63E47"/>
    <w:rsid w:val="15F8692C"/>
    <w:rsid w:val="166A7B47"/>
    <w:rsid w:val="16894F77"/>
    <w:rsid w:val="16994D3D"/>
    <w:rsid w:val="16A16153"/>
    <w:rsid w:val="16C13CBB"/>
    <w:rsid w:val="16CE07A9"/>
    <w:rsid w:val="16CE1703"/>
    <w:rsid w:val="16DD6FFB"/>
    <w:rsid w:val="16F22F3E"/>
    <w:rsid w:val="16F256B4"/>
    <w:rsid w:val="170862EC"/>
    <w:rsid w:val="17155857"/>
    <w:rsid w:val="171E78AE"/>
    <w:rsid w:val="17271431"/>
    <w:rsid w:val="17443796"/>
    <w:rsid w:val="175D29C0"/>
    <w:rsid w:val="177C6133"/>
    <w:rsid w:val="17A16DFC"/>
    <w:rsid w:val="17AE1406"/>
    <w:rsid w:val="17B72C51"/>
    <w:rsid w:val="1854041A"/>
    <w:rsid w:val="185E0429"/>
    <w:rsid w:val="18684733"/>
    <w:rsid w:val="18771471"/>
    <w:rsid w:val="18A137D8"/>
    <w:rsid w:val="18B149CC"/>
    <w:rsid w:val="18BA084E"/>
    <w:rsid w:val="18E62420"/>
    <w:rsid w:val="19010C43"/>
    <w:rsid w:val="1904618E"/>
    <w:rsid w:val="19084C73"/>
    <w:rsid w:val="19206135"/>
    <w:rsid w:val="193C5FF4"/>
    <w:rsid w:val="194A7896"/>
    <w:rsid w:val="19621B07"/>
    <w:rsid w:val="198F7226"/>
    <w:rsid w:val="19B731B1"/>
    <w:rsid w:val="19D64A51"/>
    <w:rsid w:val="19DC2840"/>
    <w:rsid w:val="1A054259"/>
    <w:rsid w:val="1A2029D8"/>
    <w:rsid w:val="1A246BFA"/>
    <w:rsid w:val="1A356C40"/>
    <w:rsid w:val="1A377D04"/>
    <w:rsid w:val="1A7D66F0"/>
    <w:rsid w:val="1A901835"/>
    <w:rsid w:val="1AA825EB"/>
    <w:rsid w:val="1AB3244C"/>
    <w:rsid w:val="1AB64C19"/>
    <w:rsid w:val="1ABF13C2"/>
    <w:rsid w:val="1ADE0F2A"/>
    <w:rsid w:val="1B0E0A1F"/>
    <w:rsid w:val="1B0E1BEE"/>
    <w:rsid w:val="1B603185"/>
    <w:rsid w:val="1B775836"/>
    <w:rsid w:val="1B793A87"/>
    <w:rsid w:val="1B7F6005"/>
    <w:rsid w:val="1BD90A64"/>
    <w:rsid w:val="1BDB2488"/>
    <w:rsid w:val="1BFB7BFC"/>
    <w:rsid w:val="1C132CB9"/>
    <w:rsid w:val="1C1A2675"/>
    <w:rsid w:val="1C1A39E3"/>
    <w:rsid w:val="1C291D96"/>
    <w:rsid w:val="1C5E5732"/>
    <w:rsid w:val="1C7617A7"/>
    <w:rsid w:val="1C8D2709"/>
    <w:rsid w:val="1C91287C"/>
    <w:rsid w:val="1CB97BFC"/>
    <w:rsid w:val="1CCA67E6"/>
    <w:rsid w:val="1CCC26CA"/>
    <w:rsid w:val="1CDA6A63"/>
    <w:rsid w:val="1CFB5D18"/>
    <w:rsid w:val="1D101758"/>
    <w:rsid w:val="1D196BAB"/>
    <w:rsid w:val="1D863449"/>
    <w:rsid w:val="1DA365A4"/>
    <w:rsid w:val="1DAA1D3B"/>
    <w:rsid w:val="1DD509BE"/>
    <w:rsid w:val="1DF065A1"/>
    <w:rsid w:val="1E007BBC"/>
    <w:rsid w:val="1E0B75E8"/>
    <w:rsid w:val="1E46348D"/>
    <w:rsid w:val="1E5314F2"/>
    <w:rsid w:val="1E9D6342"/>
    <w:rsid w:val="1EA814AF"/>
    <w:rsid w:val="1ED110C6"/>
    <w:rsid w:val="1F0F058B"/>
    <w:rsid w:val="1F1E5EEA"/>
    <w:rsid w:val="1F2E5DDD"/>
    <w:rsid w:val="1F32477C"/>
    <w:rsid w:val="1F532A67"/>
    <w:rsid w:val="1F7C5CC3"/>
    <w:rsid w:val="1F8E567F"/>
    <w:rsid w:val="1FA64462"/>
    <w:rsid w:val="1FC0601F"/>
    <w:rsid w:val="1FD976E2"/>
    <w:rsid w:val="1FEE078F"/>
    <w:rsid w:val="204538CE"/>
    <w:rsid w:val="204E6676"/>
    <w:rsid w:val="20602098"/>
    <w:rsid w:val="20923ACE"/>
    <w:rsid w:val="20DA631D"/>
    <w:rsid w:val="21160039"/>
    <w:rsid w:val="21624FCA"/>
    <w:rsid w:val="2195668B"/>
    <w:rsid w:val="21B54C8D"/>
    <w:rsid w:val="21DD222A"/>
    <w:rsid w:val="21E63E9A"/>
    <w:rsid w:val="21EC720E"/>
    <w:rsid w:val="221E4EC5"/>
    <w:rsid w:val="223A29C2"/>
    <w:rsid w:val="223F5E1A"/>
    <w:rsid w:val="22543C52"/>
    <w:rsid w:val="2255666C"/>
    <w:rsid w:val="227E62A2"/>
    <w:rsid w:val="22BA3E80"/>
    <w:rsid w:val="22D95A84"/>
    <w:rsid w:val="22F716B8"/>
    <w:rsid w:val="23537779"/>
    <w:rsid w:val="2373571E"/>
    <w:rsid w:val="237D3BD4"/>
    <w:rsid w:val="23C115AA"/>
    <w:rsid w:val="23E849DD"/>
    <w:rsid w:val="24044592"/>
    <w:rsid w:val="244D6507"/>
    <w:rsid w:val="245C52F8"/>
    <w:rsid w:val="2463385E"/>
    <w:rsid w:val="24A64487"/>
    <w:rsid w:val="24D4408A"/>
    <w:rsid w:val="24D873C4"/>
    <w:rsid w:val="24DE782E"/>
    <w:rsid w:val="24F04721"/>
    <w:rsid w:val="25134332"/>
    <w:rsid w:val="2523400F"/>
    <w:rsid w:val="254B2D83"/>
    <w:rsid w:val="257E508F"/>
    <w:rsid w:val="25956921"/>
    <w:rsid w:val="25D628F1"/>
    <w:rsid w:val="26030309"/>
    <w:rsid w:val="26176CD2"/>
    <w:rsid w:val="268025E3"/>
    <w:rsid w:val="268176AE"/>
    <w:rsid w:val="26AD2B9F"/>
    <w:rsid w:val="26AE2453"/>
    <w:rsid w:val="26FB204F"/>
    <w:rsid w:val="26FD3AEE"/>
    <w:rsid w:val="27AB7429"/>
    <w:rsid w:val="27C34900"/>
    <w:rsid w:val="27FA128B"/>
    <w:rsid w:val="286E0905"/>
    <w:rsid w:val="28966513"/>
    <w:rsid w:val="28DC44D8"/>
    <w:rsid w:val="28E15038"/>
    <w:rsid w:val="28EC3EC5"/>
    <w:rsid w:val="29102650"/>
    <w:rsid w:val="29227F57"/>
    <w:rsid w:val="29A41CE3"/>
    <w:rsid w:val="29CB22D5"/>
    <w:rsid w:val="29EB0C69"/>
    <w:rsid w:val="29FA7F26"/>
    <w:rsid w:val="2A47162C"/>
    <w:rsid w:val="2A4E2305"/>
    <w:rsid w:val="2AB42E3C"/>
    <w:rsid w:val="2AD44E19"/>
    <w:rsid w:val="2ADA5CFE"/>
    <w:rsid w:val="2B0D407D"/>
    <w:rsid w:val="2B0F7391"/>
    <w:rsid w:val="2B1A7058"/>
    <w:rsid w:val="2B275C17"/>
    <w:rsid w:val="2B334309"/>
    <w:rsid w:val="2B802934"/>
    <w:rsid w:val="2BA00622"/>
    <w:rsid w:val="2BA2350E"/>
    <w:rsid w:val="2BD2348F"/>
    <w:rsid w:val="2BD473C9"/>
    <w:rsid w:val="2BD505E1"/>
    <w:rsid w:val="2C0331BD"/>
    <w:rsid w:val="2C093484"/>
    <w:rsid w:val="2C0E3721"/>
    <w:rsid w:val="2C1D3CED"/>
    <w:rsid w:val="2C26109C"/>
    <w:rsid w:val="2C3D0C43"/>
    <w:rsid w:val="2C3E3B61"/>
    <w:rsid w:val="2C605CEB"/>
    <w:rsid w:val="2C7E5E83"/>
    <w:rsid w:val="2C8B40BC"/>
    <w:rsid w:val="2CA26BEA"/>
    <w:rsid w:val="2CC61114"/>
    <w:rsid w:val="2CE3500F"/>
    <w:rsid w:val="2D433C3E"/>
    <w:rsid w:val="2D5C3201"/>
    <w:rsid w:val="2D754D1D"/>
    <w:rsid w:val="2D850DBE"/>
    <w:rsid w:val="2D9643E7"/>
    <w:rsid w:val="2DA94FFA"/>
    <w:rsid w:val="2DC37DE0"/>
    <w:rsid w:val="2DD3557E"/>
    <w:rsid w:val="2DE20F01"/>
    <w:rsid w:val="2E1143B1"/>
    <w:rsid w:val="2E124EC4"/>
    <w:rsid w:val="2E33766F"/>
    <w:rsid w:val="2E771B60"/>
    <w:rsid w:val="2E961CF3"/>
    <w:rsid w:val="2EB14BB2"/>
    <w:rsid w:val="2ECF3B13"/>
    <w:rsid w:val="2EEC4A59"/>
    <w:rsid w:val="2F1251F2"/>
    <w:rsid w:val="2F8D5FC1"/>
    <w:rsid w:val="2FBF6C54"/>
    <w:rsid w:val="2FF75172"/>
    <w:rsid w:val="30106297"/>
    <w:rsid w:val="3048527C"/>
    <w:rsid w:val="308409F0"/>
    <w:rsid w:val="30962F3E"/>
    <w:rsid w:val="30C63409"/>
    <w:rsid w:val="30D17E68"/>
    <w:rsid w:val="30FF2795"/>
    <w:rsid w:val="310B521C"/>
    <w:rsid w:val="31144698"/>
    <w:rsid w:val="311F5F1D"/>
    <w:rsid w:val="312B537B"/>
    <w:rsid w:val="313007BC"/>
    <w:rsid w:val="313519AB"/>
    <w:rsid w:val="313D28A4"/>
    <w:rsid w:val="314C18E4"/>
    <w:rsid w:val="31622D68"/>
    <w:rsid w:val="31C72CFE"/>
    <w:rsid w:val="321466FD"/>
    <w:rsid w:val="32252B7E"/>
    <w:rsid w:val="329A6ACE"/>
    <w:rsid w:val="329D0559"/>
    <w:rsid w:val="32BB0763"/>
    <w:rsid w:val="32D102B8"/>
    <w:rsid w:val="32F135E9"/>
    <w:rsid w:val="32F17CD5"/>
    <w:rsid w:val="33120257"/>
    <w:rsid w:val="332370FE"/>
    <w:rsid w:val="3372439A"/>
    <w:rsid w:val="339F16C2"/>
    <w:rsid w:val="33AC67FD"/>
    <w:rsid w:val="33BE4AE5"/>
    <w:rsid w:val="33CD0C42"/>
    <w:rsid w:val="33D8516B"/>
    <w:rsid w:val="33F5239C"/>
    <w:rsid w:val="3420722C"/>
    <w:rsid w:val="34690CB7"/>
    <w:rsid w:val="34795064"/>
    <w:rsid w:val="34E556F8"/>
    <w:rsid w:val="3510713F"/>
    <w:rsid w:val="35594D20"/>
    <w:rsid w:val="35755783"/>
    <w:rsid w:val="358E17B4"/>
    <w:rsid w:val="35A34A87"/>
    <w:rsid w:val="35FB0F6B"/>
    <w:rsid w:val="36051A62"/>
    <w:rsid w:val="36065D1C"/>
    <w:rsid w:val="360B1D73"/>
    <w:rsid w:val="361F3323"/>
    <w:rsid w:val="362354AF"/>
    <w:rsid w:val="3664198B"/>
    <w:rsid w:val="36882306"/>
    <w:rsid w:val="36944614"/>
    <w:rsid w:val="36B23B84"/>
    <w:rsid w:val="36D07D7F"/>
    <w:rsid w:val="36E93760"/>
    <w:rsid w:val="37134BC8"/>
    <w:rsid w:val="37420318"/>
    <w:rsid w:val="376E2A30"/>
    <w:rsid w:val="3784394E"/>
    <w:rsid w:val="37AE5D43"/>
    <w:rsid w:val="37D52CA8"/>
    <w:rsid w:val="37F043A1"/>
    <w:rsid w:val="37FD19C6"/>
    <w:rsid w:val="380F7F2F"/>
    <w:rsid w:val="3837696A"/>
    <w:rsid w:val="38565D23"/>
    <w:rsid w:val="385F32ED"/>
    <w:rsid w:val="3873318B"/>
    <w:rsid w:val="38A5485F"/>
    <w:rsid w:val="38A81BE0"/>
    <w:rsid w:val="38AE3BB0"/>
    <w:rsid w:val="38E0677B"/>
    <w:rsid w:val="394678F5"/>
    <w:rsid w:val="39477BD7"/>
    <w:rsid w:val="394C026E"/>
    <w:rsid w:val="39723243"/>
    <w:rsid w:val="397D512A"/>
    <w:rsid w:val="399A4658"/>
    <w:rsid w:val="39B259B2"/>
    <w:rsid w:val="39B53480"/>
    <w:rsid w:val="3A0E44BE"/>
    <w:rsid w:val="3A6A38E9"/>
    <w:rsid w:val="3A7968D0"/>
    <w:rsid w:val="3A851EEE"/>
    <w:rsid w:val="3A964549"/>
    <w:rsid w:val="3AA05EFF"/>
    <w:rsid w:val="3AA72B9B"/>
    <w:rsid w:val="3ACB5746"/>
    <w:rsid w:val="3ADB1346"/>
    <w:rsid w:val="3B1B69AD"/>
    <w:rsid w:val="3B2B7E19"/>
    <w:rsid w:val="3B3D30B8"/>
    <w:rsid w:val="3B5F77F0"/>
    <w:rsid w:val="3B70369D"/>
    <w:rsid w:val="3B726B12"/>
    <w:rsid w:val="3B9E7799"/>
    <w:rsid w:val="3BB20883"/>
    <w:rsid w:val="3C1B16A4"/>
    <w:rsid w:val="3C1D0647"/>
    <w:rsid w:val="3C224A84"/>
    <w:rsid w:val="3C4A5BB3"/>
    <w:rsid w:val="3C4E0025"/>
    <w:rsid w:val="3CB03B80"/>
    <w:rsid w:val="3D1555D2"/>
    <w:rsid w:val="3D7650B2"/>
    <w:rsid w:val="3D98482B"/>
    <w:rsid w:val="3DA91AC5"/>
    <w:rsid w:val="3DBC2B1A"/>
    <w:rsid w:val="3DBF0BD0"/>
    <w:rsid w:val="3DCE03CE"/>
    <w:rsid w:val="3DDE6561"/>
    <w:rsid w:val="3DEC279D"/>
    <w:rsid w:val="3E1F37F8"/>
    <w:rsid w:val="3E441C7D"/>
    <w:rsid w:val="3E4D6E80"/>
    <w:rsid w:val="3E991268"/>
    <w:rsid w:val="3E9D5FB0"/>
    <w:rsid w:val="3EEF3559"/>
    <w:rsid w:val="3EEF6F72"/>
    <w:rsid w:val="3F0B36B9"/>
    <w:rsid w:val="3F0E08E1"/>
    <w:rsid w:val="3F1B7BAD"/>
    <w:rsid w:val="3F215060"/>
    <w:rsid w:val="3F4B199A"/>
    <w:rsid w:val="3F6B12F8"/>
    <w:rsid w:val="3F89142B"/>
    <w:rsid w:val="3F900D7F"/>
    <w:rsid w:val="3FC956FF"/>
    <w:rsid w:val="3FDA36D6"/>
    <w:rsid w:val="3FE3763E"/>
    <w:rsid w:val="3FEB2746"/>
    <w:rsid w:val="3FFC23AF"/>
    <w:rsid w:val="402F4C43"/>
    <w:rsid w:val="40364B74"/>
    <w:rsid w:val="403B0E25"/>
    <w:rsid w:val="4074775B"/>
    <w:rsid w:val="40A36A71"/>
    <w:rsid w:val="41120F0A"/>
    <w:rsid w:val="41244F55"/>
    <w:rsid w:val="412802D0"/>
    <w:rsid w:val="41814A89"/>
    <w:rsid w:val="41F466FD"/>
    <w:rsid w:val="42336E48"/>
    <w:rsid w:val="4256162F"/>
    <w:rsid w:val="42641377"/>
    <w:rsid w:val="428A0E8D"/>
    <w:rsid w:val="42A67A24"/>
    <w:rsid w:val="42AE6903"/>
    <w:rsid w:val="42DF6814"/>
    <w:rsid w:val="42EB64DB"/>
    <w:rsid w:val="42F368FB"/>
    <w:rsid w:val="434730CB"/>
    <w:rsid w:val="43701008"/>
    <w:rsid w:val="440D5045"/>
    <w:rsid w:val="442E0049"/>
    <w:rsid w:val="44434797"/>
    <w:rsid w:val="449962D9"/>
    <w:rsid w:val="449E5E2B"/>
    <w:rsid w:val="44EA12DF"/>
    <w:rsid w:val="450C5B71"/>
    <w:rsid w:val="455B41A5"/>
    <w:rsid w:val="456B52EA"/>
    <w:rsid w:val="459A0FE0"/>
    <w:rsid w:val="45BE6191"/>
    <w:rsid w:val="45DD312E"/>
    <w:rsid w:val="460C5979"/>
    <w:rsid w:val="467B755F"/>
    <w:rsid w:val="46A14933"/>
    <w:rsid w:val="46CC0340"/>
    <w:rsid w:val="46EA3889"/>
    <w:rsid w:val="47030E3D"/>
    <w:rsid w:val="471065AF"/>
    <w:rsid w:val="473A4090"/>
    <w:rsid w:val="475A3B83"/>
    <w:rsid w:val="4770238F"/>
    <w:rsid w:val="477B1554"/>
    <w:rsid w:val="47A91B04"/>
    <w:rsid w:val="47C01792"/>
    <w:rsid w:val="47D66869"/>
    <w:rsid w:val="4808150F"/>
    <w:rsid w:val="481412F8"/>
    <w:rsid w:val="481B3443"/>
    <w:rsid w:val="486126D3"/>
    <w:rsid w:val="48866B70"/>
    <w:rsid w:val="48AD5112"/>
    <w:rsid w:val="48C34325"/>
    <w:rsid w:val="48C92056"/>
    <w:rsid w:val="49032D19"/>
    <w:rsid w:val="495D0B90"/>
    <w:rsid w:val="49624B2A"/>
    <w:rsid w:val="496647EC"/>
    <w:rsid w:val="49696118"/>
    <w:rsid w:val="49710714"/>
    <w:rsid w:val="49870BC4"/>
    <w:rsid w:val="49B0665B"/>
    <w:rsid w:val="49BE0C28"/>
    <w:rsid w:val="49EE7BBF"/>
    <w:rsid w:val="49F6791A"/>
    <w:rsid w:val="4A1501DD"/>
    <w:rsid w:val="4A2A2623"/>
    <w:rsid w:val="4A2C25FF"/>
    <w:rsid w:val="4A2C76F3"/>
    <w:rsid w:val="4A4346CA"/>
    <w:rsid w:val="4A6D023A"/>
    <w:rsid w:val="4A9224AC"/>
    <w:rsid w:val="4AC31003"/>
    <w:rsid w:val="4ADD7D4B"/>
    <w:rsid w:val="4ADF6352"/>
    <w:rsid w:val="4AE93159"/>
    <w:rsid w:val="4AF06E0F"/>
    <w:rsid w:val="4B3C12AA"/>
    <w:rsid w:val="4B6D706C"/>
    <w:rsid w:val="4BA01152"/>
    <w:rsid w:val="4BA9688E"/>
    <w:rsid w:val="4BAA2369"/>
    <w:rsid w:val="4BB57607"/>
    <w:rsid w:val="4BB87376"/>
    <w:rsid w:val="4BD0339A"/>
    <w:rsid w:val="4BF80F0E"/>
    <w:rsid w:val="4C24264B"/>
    <w:rsid w:val="4C2C27D9"/>
    <w:rsid w:val="4C2C4DD0"/>
    <w:rsid w:val="4C3320ED"/>
    <w:rsid w:val="4C5525F5"/>
    <w:rsid w:val="4C7001D3"/>
    <w:rsid w:val="4C982A44"/>
    <w:rsid w:val="4CAD25C4"/>
    <w:rsid w:val="4CCF724B"/>
    <w:rsid w:val="4CFB5854"/>
    <w:rsid w:val="4D3371EA"/>
    <w:rsid w:val="4D350744"/>
    <w:rsid w:val="4D462159"/>
    <w:rsid w:val="4D573A21"/>
    <w:rsid w:val="4D6340DD"/>
    <w:rsid w:val="4D8413C7"/>
    <w:rsid w:val="4DA77D83"/>
    <w:rsid w:val="4DC605B6"/>
    <w:rsid w:val="4DC81D5C"/>
    <w:rsid w:val="4DEC0985"/>
    <w:rsid w:val="4E27683A"/>
    <w:rsid w:val="4E531796"/>
    <w:rsid w:val="4E5D1C57"/>
    <w:rsid w:val="4E654861"/>
    <w:rsid w:val="4E670970"/>
    <w:rsid w:val="4ECA3CB6"/>
    <w:rsid w:val="4EDF458C"/>
    <w:rsid w:val="4F253E1B"/>
    <w:rsid w:val="4F2765B1"/>
    <w:rsid w:val="4F285975"/>
    <w:rsid w:val="4F5B0546"/>
    <w:rsid w:val="4F9F5A39"/>
    <w:rsid w:val="4FDC1E85"/>
    <w:rsid w:val="50106910"/>
    <w:rsid w:val="501D2117"/>
    <w:rsid w:val="503E49C1"/>
    <w:rsid w:val="50543861"/>
    <w:rsid w:val="5056504A"/>
    <w:rsid w:val="50592036"/>
    <w:rsid w:val="5085246A"/>
    <w:rsid w:val="508B01F1"/>
    <w:rsid w:val="50C32445"/>
    <w:rsid w:val="50FB11D3"/>
    <w:rsid w:val="51867298"/>
    <w:rsid w:val="51887A43"/>
    <w:rsid w:val="51956477"/>
    <w:rsid w:val="51973DA6"/>
    <w:rsid w:val="51990DEF"/>
    <w:rsid w:val="519A0068"/>
    <w:rsid w:val="51AA673E"/>
    <w:rsid w:val="51B3649F"/>
    <w:rsid w:val="51FD5E9E"/>
    <w:rsid w:val="5215705B"/>
    <w:rsid w:val="52271D33"/>
    <w:rsid w:val="525412EB"/>
    <w:rsid w:val="5272433B"/>
    <w:rsid w:val="527739D2"/>
    <w:rsid w:val="52955D8D"/>
    <w:rsid w:val="52966B35"/>
    <w:rsid w:val="52C05C84"/>
    <w:rsid w:val="52C20456"/>
    <w:rsid w:val="52C902D5"/>
    <w:rsid w:val="52E04D27"/>
    <w:rsid w:val="531B1662"/>
    <w:rsid w:val="53BB69E9"/>
    <w:rsid w:val="53DB174E"/>
    <w:rsid w:val="53DB1D3B"/>
    <w:rsid w:val="53DB3477"/>
    <w:rsid w:val="53F54F86"/>
    <w:rsid w:val="54033A95"/>
    <w:rsid w:val="54165773"/>
    <w:rsid w:val="541E2108"/>
    <w:rsid w:val="544C2891"/>
    <w:rsid w:val="54550F03"/>
    <w:rsid w:val="54A02016"/>
    <w:rsid w:val="54C93FB6"/>
    <w:rsid w:val="54DF5C95"/>
    <w:rsid w:val="55076DFB"/>
    <w:rsid w:val="55152F68"/>
    <w:rsid w:val="55187448"/>
    <w:rsid w:val="557D32CA"/>
    <w:rsid w:val="55AD6481"/>
    <w:rsid w:val="55DD6F2A"/>
    <w:rsid w:val="55F06EBE"/>
    <w:rsid w:val="55F6610C"/>
    <w:rsid w:val="560A3875"/>
    <w:rsid w:val="56145865"/>
    <w:rsid w:val="56880C30"/>
    <w:rsid w:val="568B774A"/>
    <w:rsid w:val="5693229B"/>
    <w:rsid w:val="56D42326"/>
    <w:rsid w:val="56F52621"/>
    <w:rsid w:val="578E67DC"/>
    <w:rsid w:val="578F220A"/>
    <w:rsid w:val="57981B91"/>
    <w:rsid w:val="57F15449"/>
    <w:rsid w:val="57FC07D9"/>
    <w:rsid w:val="58100755"/>
    <w:rsid w:val="581B1AE1"/>
    <w:rsid w:val="581D5E01"/>
    <w:rsid w:val="58500F22"/>
    <w:rsid w:val="58592931"/>
    <w:rsid w:val="587818A4"/>
    <w:rsid w:val="58EB1EF4"/>
    <w:rsid w:val="58EC0912"/>
    <w:rsid w:val="59420C0F"/>
    <w:rsid w:val="595B5127"/>
    <w:rsid w:val="596E17EF"/>
    <w:rsid w:val="59A11336"/>
    <w:rsid w:val="59AD22E5"/>
    <w:rsid w:val="59B66EF3"/>
    <w:rsid w:val="59C3010A"/>
    <w:rsid w:val="59D539BB"/>
    <w:rsid w:val="59F00070"/>
    <w:rsid w:val="5A06190B"/>
    <w:rsid w:val="5A0F6932"/>
    <w:rsid w:val="5A426C44"/>
    <w:rsid w:val="5A431D86"/>
    <w:rsid w:val="5ABA556F"/>
    <w:rsid w:val="5ABC4C28"/>
    <w:rsid w:val="5AC34D10"/>
    <w:rsid w:val="5ACD4BED"/>
    <w:rsid w:val="5ACF0F3A"/>
    <w:rsid w:val="5AD13724"/>
    <w:rsid w:val="5AFB78BA"/>
    <w:rsid w:val="5B1F19C0"/>
    <w:rsid w:val="5B2347EE"/>
    <w:rsid w:val="5B267241"/>
    <w:rsid w:val="5B57193F"/>
    <w:rsid w:val="5B855709"/>
    <w:rsid w:val="5B931671"/>
    <w:rsid w:val="5B971B60"/>
    <w:rsid w:val="5BAF3DCD"/>
    <w:rsid w:val="5BDA30AA"/>
    <w:rsid w:val="5BEC1F3E"/>
    <w:rsid w:val="5BED5B39"/>
    <w:rsid w:val="5C52310E"/>
    <w:rsid w:val="5C6B1600"/>
    <w:rsid w:val="5C9552E3"/>
    <w:rsid w:val="5CD554F0"/>
    <w:rsid w:val="5CDF0894"/>
    <w:rsid w:val="5CFC320A"/>
    <w:rsid w:val="5D1552BA"/>
    <w:rsid w:val="5D2D1D5F"/>
    <w:rsid w:val="5D542608"/>
    <w:rsid w:val="5D963B84"/>
    <w:rsid w:val="5D9D7CEE"/>
    <w:rsid w:val="5DA06B08"/>
    <w:rsid w:val="5DAE2415"/>
    <w:rsid w:val="5DB72AB1"/>
    <w:rsid w:val="5DDD363D"/>
    <w:rsid w:val="5DFD51DB"/>
    <w:rsid w:val="5E0D36E5"/>
    <w:rsid w:val="5E225582"/>
    <w:rsid w:val="5E4B3DE5"/>
    <w:rsid w:val="5E672082"/>
    <w:rsid w:val="5E774BBA"/>
    <w:rsid w:val="5E822E1D"/>
    <w:rsid w:val="5E9014C0"/>
    <w:rsid w:val="5EB54E76"/>
    <w:rsid w:val="5F182297"/>
    <w:rsid w:val="5F1C2285"/>
    <w:rsid w:val="5F2762EE"/>
    <w:rsid w:val="5F2A30E7"/>
    <w:rsid w:val="5F3D15BD"/>
    <w:rsid w:val="5F670129"/>
    <w:rsid w:val="5F831804"/>
    <w:rsid w:val="5F8B3B53"/>
    <w:rsid w:val="5FA71BD2"/>
    <w:rsid w:val="5FB20808"/>
    <w:rsid w:val="5FF80B81"/>
    <w:rsid w:val="60412C84"/>
    <w:rsid w:val="60526F05"/>
    <w:rsid w:val="605F073E"/>
    <w:rsid w:val="607C3753"/>
    <w:rsid w:val="60845BDE"/>
    <w:rsid w:val="608A305C"/>
    <w:rsid w:val="60C30855"/>
    <w:rsid w:val="60FC4DC9"/>
    <w:rsid w:val="610B58E3"/>
    <w:rsid w:val="61421EFD"/>
    <w:rsid w:val="615C5041"/>
    <w:rsid w:val="615E2C3B"/>
    <w:rsid w:val="61647861"/>
    <w:rsid w:val="61783194"/>
    <w:rsid w:val="61A86806"/>
    <w:rsid w:val="61DD7C0C"/>
    <w:rsid w:val="61E918F1"/>
    <w:rsid w:val="61F03C80"/>
    <w:rsid w:val="620A4805"/>
    <w:rsid w:val="620F49EA"/>
    <w:rsid w:val="62596CBD"/>
    <w:rsid w:val="627D4D73"/>
    <w:rsid w:val="62907DA0"/>
    <w:rsid w:val="62924F9D"/>
    <w:rsid w:val="62AC1299"/>
    <w:rsid w:val="634C2917"/>
    <w:rsid w:val="635046FB"/>
    <w:rsid w:val="637F10BE"/>
    <w:rsid w:val="63831CDB"/>
    <w:rsid w:val="63864A81"/>
    <w:rsid w:val="6399211D"/>
    <w:rsid w:val="63A8282B"/>
    <w:rsid w:val="640447F7"/>
    <w:rsid w:val="644E3506"/>
    <w:rsid w:val="64611A79"/>
    <w:rsid w:val="64633642"/>
    <w:rsid w:val="64A716D1"/>
    <w:rsid w:val="64C350F6"/>
    <w:rsid w:val="64CD465B"/>
    <w:rsid w:val="64D03F89"/>
    <w:rsid w:val="64F323A3"/>
    <w:rsid w:val="65055B3A"/>
    <w:rsid w:val="65200316"/>
    <w:rsid w:val="65230765"/>
    <w:rsid w:val="65587C6D"/>
    <w:rsid w:val="65717DB0"/>
    <w:rsid w:val="659768CA"/>
    <w:rsid w:val="664805B8"/>
    <w:rsid w:val="667E4723"/>
    <w:rsid w:val="668E08D7"/>
    <w:rsid w:val="66984633"/>
    <w:rsid w:val="66C1049F"/>
    <w:rsid w:val="66FF6F50"/>
    <w:rsid w:val="675F33B9"/>
    <w:rsid w:val="67A91DCA"/>
    <w:rsid w:val="67DC041A"/>
    <w:rsid w:val="680D10EA"/>
    <w:rsid w:val="681E0A0A"/>
    <w:rsid w:val="6827563C"/>
    <w:rsid w:val="68370274"/>
    <w:rsid w:val="68616ED7"/>
    <w:rsid w:val="68640152"/>
    <w:rsid w:val="686A2511"/>
    <w:rsid w:val="68797603"/>
    <w:rsid w:val="68831C24"/>
    <w:rsid w:val="68FE04DA"/>
    <w:rsid w:val="69064BFC"/>
    <w:rsid w:val="690F418B"/>
    <w:rsid w:val="693762FF"/>
    <w:rsid w:val="695D4A1A"/>
    <w:rsid w:val="697871F9"/>
    <w:rsid w:val="69892041"/>
    <w:rsid w:val="69B94F0E"/>
    <w:rsid w:val="69B97796"/>
    <w:rsid w:val="69BE36B9"/>
    <w:rsid w:val="69F02687"/>
    <w:rsid w:val="6A035D5E"/>
    <w:rsid w:val="6A15658E"/>
    <w:rsid w:val="6A196B1E"/>
    <w:rsid w:val="6A225B90"/>
    <w:rsid w:val="6A2B58D1"/>
    <w:rsid w:val="6A5F7DED"/>
    <w:rsid w:val="6A7A2736"/>
    <w:rsid w:val="6A7B4B9C"/>
    <w:rsid w:val="6AB74D93"/>
    <w:rsid w:val="6B240819"/>
    <w:rsid w:val="6B2C07D0"/>
    <w:rsid w:val="6B305AF2"/>
    <w:rsid w:val="6B7604FB"/>
    <w:rsid w:val="6BD448BB"/>
    <w:rsid w:val="6C010037"/>
    <w:rsid w:val="6C201A31"/>
    <w:rsid w:val="6C3B6F46"/>
    <w:rsid w:val="6C450CD8"/>
    <w:rsid w:val="6C89456C"/>
    <w:rsid w:val="6CF94EF2"/>
    <w:rsid w:val="6D04361E"/>
    <w:rsid w:val="6D0A72DB"/>
    <w:rsid w:val="6D26089D"/>
    <w:rsid w:val="6D3653A8"/>
    <w:rsid w:val="6DF35CE7"/>
    <w:rsid w:val="6E11718C"/>
    <w:rsid w:val="6E352709"/>
    <w:rsid w:val="6E4113FD"/>
    <w:rsid w:val="6E487B45"/>
    <w:rsid w:val="6E78270E"/>
    <w:rsid w:val="6E8210E7"/>
    <w:rsid w:val="6EDC71F1"/>
    <w:rsid w:val="6F4C6A42"/>
    <w:rsid w:val="6FA629D4"/>
    <w:rsid w:val="6FF17BE3"/>
    <w:rsid w:val="6FF92FCF"/>
    <w:rsid w:val="70085765"/>
    <w:rsid w:val="703E00F3"/>
    <w:rsid w:val="705537D0"/>
    <w:rsid w:val="70BB2EF0"/>
    <w:rsid w:val="70C07468"/>
    <w:rsid w:val="70C431A7"/>
    <w:rsid w:val="7104173D"/>
    <w:rsid w:val="7112620B"/>
    <w:rsid w:val="71376B12"/>
    <w:rsid w:val="713D1523"/>
    <w:rsid w:val="71B25CB4"/>
    <w:rsid w:val="71E67E8D"/>
    <w:rsid w:val="71F73FF9"/>
    <w:rsid w:val="720A1493"/>
    <w:rsid w:val="721B342E"/>
    <w:rsid w:val="7233146F"/>
    <w:rsid w:val="724429DE"/>
    <w:rsid w:val="726A39E1"/>
    <w:rsid w:val="72C23CF9"/>
    <w:rsid w:val="72CC7908"/>
    <w:rsid w:val="72CE7F8B"/>
    <w:rsid w:val="73025462"/>
    <w:rsid w:val="731A45CE"/>
    <w:rsid w:val="739B1B6F"/>
    <w:rsid w:val="73D425F7"/>
    <w:rsid w:val="743C0B78"/>
    <w:rsid w:val="744D1301"/>
    <w:rsid w:val="748E740F"/>
    <w:rsid w:val="74E907CC"/>
    <w:rsid w:val="7586127D"/>
    <w:rsid w:val="758B1CE3"/>
    <w:rsid w:val="75D324E6"/>
    <w:rsid w:val="75F01458"/>
    <w:rsid w:val="75FA5071"/>
    <w:rsid w:val="76050CD1"/>
    <w:rsid w:val="76274B15"/>
    <w:rsid w:val="76425A7C"/>
    <w:rsid w:val="768A3B82"/>
    <w:rsid w:val="76933951"/>
    <w:rsid w:val="769430FA"/>
    <w:rsid w:val="76C97D08"/>
    <w:rsid w:val="76CF3E55"/>
    <w:rsid w:val="76FB7E19"/>
    <w:rsid w:val="77281042"/>
    <w:rsid w:val="77405CDA"/>
    <w:rsid w:val="776D3AEE"/>
    <w:rsid w:val="77BC7EF3"/>
    <w:rsid w:val="77DF516D"/>
    <w:rsid w:val="78414B43"/>
    <w:rsid w:val="784F7216"/>
    <w:rsid w:val="785B25C8"/>
    <w:rsid w:val="785D108B"/>
    <w:rsid w:val="786C2C9A"/>
    <w:rsid w:val="78782A0D"/>
    <w:rsid w:val="78AA6E72"/>
    <w:rsid w:val="78CD6ACB"/>
    <w:rsid w:val="78F51CF9"/>
    <w:rsid w:val="793B0CCB"/>
    <w:rsid w:val="793C6354"/>
    <w:rsid w:val="794510B3"/>
    <w:rsid w:val="79622B30"/>
    <w:rsid w:val="797207E0"/>
    <w:rsid w:val="79A2171F"/>
    <w:rsid w:val="79A252FF"/>
    <w:rsid w:val="79AB25A1"/>
    <w:rsid w:val="79B575DF"/>
    <w:rsid w:val="79D33056"/>
    <w:rsid w:val="79F36CD2"/>
    <w:rsid w:val="7A1F4339"/>
    <w:rsid w:val="7A99772D"/>
    <w:rsid w:val="7AA634E6"/>
    <w:rsid w:val="7AC113C6"/>
    <w:rsid w:val="7ADA5855"/>
    <w:rsid w:val="7AED2284"/>
    <w:rsid w:val="7B05563D"/>
    <w:rsid w:val="7B1F42C2"/>
    <w:rsid w:val="7B335BE0"/>
    <w:rsid w:val="7B7B7213"/>
    <w:rsid w:val="7B8360E4"/>
    <w:rsid w:val="7B9115BC"/>
    <w:rsid w:val="7BA0035D"/>
    <w:rsid w:val="7BCA2778"/>
    <w:rsid w:val="7C094698"/>
    <w:rsid w:val="7C26369C"/>
    <w:rsid w:val="7C3218E1"/>
    <w:rsid w:val="7C417135"/>
    <w:rsid w:val="7C457BF4"/>
    <w:rsid w:val="7C8301F7"/>
    <w:rsid w:val="7C9E5A24"/>
    <w:rsid w:val="7CA45E93"/>
    <w:rsid w:val="7D3B71CE"/>
    <w:rsid w:val="7D4B06FA"/>
    <w:rsid w:val="7D5A690C"/>
    <w:rsid w:val="7D62117D"/>
    <w:rsid w:val="7D637309"/>
    <w:rsid w:val="7D812BB9"/>
    <w:rsid w:val="7DC321A7"/>
    <w:rsid w:val="7E10664C"/>
    <w:rsid w:val="7E1B7093"/>
    <w:rsid w:val="7E344080"/>
    <w:rsid w:val="7E3E1EF2"/>
    <w:rsid w:val="7E503C09"/>
    <w:rsid w:val="7EA94C42"/>
    <w:rsid w:val="7EB533E6"/>
    <w:rsid w:val="7EBE367B"/>
    <w:rsid w:val="7ED54220"/>
    <w:rsid w:val="7EE01259"/>
    <w:rsid w:val="7EED2530"/>
    <w:rsid w:val="7EF74FC9"/>
    <w:rsid w:val="7F4465F5"/>
    <w:rsid w:val="7F5C2DC5"/>
    <w:rsid w:val="7F8B651B"/>
    <w:rsid w:val="7FA5680A"/>
    <w:rsid w:val="7FCB553B"/>
    <w:rsid w:val="7FEA5299"/>
    <w:rsid w:val="7FF0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qFormat="1"/>
    <w:lsdException w:name="toc 3" w:qFormat="1"/>
    <w:lsdException w:name="annotation text" w:semiHidden="0" w:qFormat="1"/>
    <w:lsdException w:name="header" w:uiPriority="0" w:unhideWhenUsed="0" w:qFormat="1"/>
    <w:lsdException w:name="footer" w:semiHidden="0" w:qFormat="1"/>
    <w:lsdException w:name="caption" w:semiHidden="0" w:uiPriority="35" w:qFormat="1"/>
    <w:lsdException w:name="table of figures" w:qFormat="1"/>
    <w:lsdException w:name="annotation reference" w:qFormat="1"/>
    <w:lsdException w:name="List" w:semiHidden="0" w:uiPriority="0" w:unhideWhenUsed="0" w:qFormat="1"/>
    <w:lsdException w:name="List 2" w:semiHidden="0" w:uiPriority="0" w:unhideWhenUsed="0" w:qFormat="1"/>
    <w:lsdException w:name="Title" w:semiHidden="0" w:unhideWhenUsed="0"/>
    <w:lsdException w:name="Default Paragraph Font" w:uiPriority="1" w:qFormat="1"/>
    <w:lsdException w:name="Body Text" w:semiHidden="0" w:uiPriority="0" w:unhideWhenUsed="0" w:qFormat="1"/>
    <w:lsdException w:name="Subtitle" w:semiHidden="0" w:unhideWhenUsed="0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nhideWhenUsed="0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C7"/>
    <w:pPr>
      <w:spacing w:beforeLines="50" w:afterLines="50" w:line="276" w:lineRule="auto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qFormat/>
    <w:rsid w:val="00F83EC7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F83EC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F83EC7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F83EC7"/>
    <w:pPr>
      <w:widowControl w:val="0"/>
      <w:spacing w:beforeLines="0" w:afterLines="0" w:line="240" w:lineRule="auto"/>
    </w:pPr>
    <w:rPr>
      <w:rFonts w:asciiTheme="majorHAnsi" w:eastAsia="黑体" w:hAnsiTheme="majorHAnsi" w:cstheme="majorBidi"/>
      <w:sz w:val="20"/>
    </w:rPr>
  </w:style>
  <w:style w:type="paragraph" w:styleId="a4">
    <w:name w:val="annotation text"/>
    <w:basedOn w:val="a"/>
    <w:link w:val="Char"/>
    <w:uiPriority w:val="99"/>
    <w:unhideWhenUsed/>
    <w:qFormat/>
    <w:rsid w:val="00F83EC7"/>
    <w:pPr>
      <w:jc w:val="left"/>
    </w:pPr>
  </w:style>
  <w:style w:type="paragraph" w:styleId="a5">
    <w:name w:val="Body Text"/>
    <w:basedOn w:val="a"/>
    <w:qFormat/>
    <w:rsid w:val="00F83EC7"/>
    <w:pPr>
      <w:spacing w:after="120"/>
    </w:pPr>
  </w:style>
  <w:style w:type="paragraph" w:styleId="20">
    <w:name w:val="List 2"/>
    <w:basedOn w:val="a6"/>
    <w:qFormat/>
    <w:rsid w:val="00F83EC7"/>
    <w:pPr>
      <w:ind w:left="851"/>
    </w:pPr>
  </w:style>
  <w:style w:type="paragraph" w:styleId="a6">
    <w:name w:val="List"/>
    <w:basedOn w:val="a"/>
    <w:qFormat/>
    <w:rsid w:val="00F83EC7"/>
    <w:pPr>
      <w:ind w:left="568" w:hanging="284"/>
    </w:pPr>
  </w:style>
  <w:style w:type="paragraph" w:styleId="30">
    <w:name w:val="toc 3"/>
    <w:basedOn w:val="a"/>
    <w:next w:val="a"/>
    <w:uiPriority w:val="99"/>
    <w:semiHidden/>
    <w:unhideWhenUsed/>
    <w:qFormat/>
    <w:rsid w:val="00F83EC7"/>
    <w:pPr>
      <w:ind w:leftChars="400" w:left="840"/>
    </w:pPr>
  </w:style>
  <w:style w:type="paragraph" w:styleId="a7">
    <w:name w:val="Balloon Text"/>
    <w:basedOn w:val="a"/>
    <w:link w:val="Char0"/>
    <w:uiPriority w:val="99"/>
    <w:semiHidden/>
    <w:unhideWhenUsed/>
    <w:qFormat/>
    <w:rsid w:val="00F83EC7"/>
    <w:pPr>
      <w:spacing w:line="240" w:lineRule="auto"/>
    </w:pPr>
    <w:rPr>
      <w:rFonts w:ascii="Tahoma" w:hAnsi="Tahoma" w:cs="Tahoma"/>
      <w:sz w:val="16"/>
      <w:szCs w:val="16"/>
    </w:rPr>
  </w:style>
  <w:style w:type="paragraph" w:styleId="a8">
    <w:name w:val="footer"/>
    <w:basedOn w:val="a"/>
    <w:link w:val="Char1"/>
    <w:uiPriority w:val="99"/>
    <w:unhideWhenUsed/>
    <w:qFormat/>
    <w:rsid w:val="00F83E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semiHidden/>
    <w:qFormat/>
    <w:rsid w:val="00F83EC7"/>
    <w:pPr>
      <w:tabs>
        <w:tab w:val="center" w:pos="4680"/>
        <w:tab w:val="right" w:pos="9360"/>
      </w:tabs>
      <w:spacing w:line="240" w:lineRule="auto"/>
    </w:pPr>
  </w:style>
  <w:style w:type="paragraph" w:styleId="10">
    <w:name w:val="toc 1"/>
    <w:basedOn w:val="a"/>
    <w:next w:val="a"/>
    <w:uiPriority w:val="39"/>
    <w:unhideWhenUsed/>
    <w:qFormat/>
    <w:rsid w:val="00F83EC7"/>
    <w:rPr>
      <w:rFonts w:eastAsiaTheme="minorEastAsia"/>
      <w:b/>
      <w:i/>
      <w:sz w:val="20"/>
    </w:rPr>
  </w:style>
  <w:style w:type="paragraph" w:styleId="aa">
    <w:name w:val="table of figures"/>
    <w:basedOn w:val="a"/>
    <w:next w:val="a"/>
    <w:uiPriority w:val="99"/>
    <w:semiHidden/>
    <w:unhideWhenUsed/>
    <w:qFormat/>
    <w:rsid w:val="00F83EC7"/>
    <w:pPr>
      <w:ind w:leftChars="200" w:left="200" w:hangingChars="200" w:hanging="200"/>
    </w:pPr>
  </w:style>
  <w:style w:type="paragraph" w:styleId="21">
    <w:name w:val="toc 2"/>
    <w:basedOn w:val="a"/>
    <w:next w:val="a"/>
    <w:uiPriority w:val="99"/>
    <w:semiHidden/>
    <w:unhideWhenUsed/>
    <w:qFormat/>
    <w:rsid w:val="00F83EC7"/>
    <w:pPr>
      <w:ind w:leftChars="200" w:left="420"/>
    </w:pPr>
    <w:rPr>
      <w:b/>
      <w:i/>
      <w:sz w:val="20"/>
    </w:rPr>
  </w:style>
  <w:style w:type="paragraph" w:styleId="ab">
    <w:name w:val="Normal (Web)"/>
    <w:basedOn w:val="a"/>
    <w:uiPriority w:val="99"/>
    <w:semiHidden/>
    <w:unhideWhenUsed/>
    <w:qFormat/>
    <w:rsid w:val="00F83EC7"/>
    <w:pPr>
      <w:spacing w:beforeAutospacing="1" w:afterAutospacing="1"/>
      <w:jc w:val="left"/>
    </w:pPr>
    <w:rPr>
      <w:kern w:val="0"/>
      <w:sz w:val="24"/>
    </w:rPr>
  </w:style>
  <w:style w:type="paragraph" w:styleId="ac">
    <w:name w:val="annotation subject"/>
    <w:basedOn w:val="a4"/>
    <w:next w:val="a4"/>
    <w:link w:val="Char3"/>
    <w:uiPriority w:val="99"/>
    <w:semiHidden/>
    <w:unhideWhenUsed/>
    <w:qFormat/>
    <w:rsid w:val="00F83EC7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unhideWhenUsed/>
    <w:qFormat/>
    <w:rsid w:val="00F83EC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F83EC7"/>
    <w:rPr>
      <w:b/>
      <w:bCs/>
    </w:rPr>
  </w:style>
  <w:style w:type="character" w:styleId="af">
    <w:name w:val="FollowedHyperlink"/>
    <w:basedOn w:val="a0"/>
    <w:uiPriority w:val="99"/>
    <w:semiHidden/>
    <w:unhideWhenUsed/>
    <w:qFormat/>
    <w:rsid w:val="00F83EC7"/>
    <w:rPr>
      <w:color w:val="800080"/>
      <w:u w:val="single"/>
    </w:rPr>
  </w:style>
  <w:style w:type="character" w:styleId="af0">
    <w:name w:val="Hyperlink"/>
    <w:basedOn w:val="a0"/>
    <w:uiPriority w:val="99"/>
    <w:unhideWhenUsed/>
    <w:qFormat/>
    <w:rsid w:val="00F83EC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qFormat/>
    <w:rsid w:val="00F83EC7"/>
    <w:rPr>
      <w:sz w:val="16"/>
      <w:szCs w:val="16"/>
    </w:rPr>
  </w:style>
  <w:style w:type="paragraph" w:customStyle="1" w:styleId="YJ-Proposal">
    <w:name w:val="YJ-Proposal"/>
    <w:basedOn w:val="a"/>
    <w:qFormat/>
    <w:rsid w:val="00F83EC7"/>
    <w:pPr>
      <w:numPr>
        <w:numId w:val="2"/>
      </w:numPr>
      <w:tabs>
        <w:tab w:val="clear" w:pos="851"/>
        <w:tab w:val="left" w:pos="0"/>
      </w:tabs>
      <w:ind w:left="0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F83EC7"/>
    <w:pPr>
      <w:numPr>
        <w:numId w:val="3"/>
      </w:numPr>
      <w:tabs>
        <w:tab w:val="clear" w:pos="851"/>
        <w:tab w:val="left" w:pos="420"/>
      </w:tabs>
    </w:pPr>
  </w:style>
  <w:style w:type="paragraph" w:customStyle="1" w:styleId="sub-proposal">
    <w:name w:val="sub-proposal"/>
    <w:basedOn w:val="YJ-Proposal"/>
    <w:next w:val="a"/>
    <w:qFormat/>
    <w:rsid w:val="00F83EC7"/>
    <w:pPr>
      <w:numPr>
        <w:numId w:val="4"/>
      </w:numPr>
      <w:tabs>
        <w:tab w:val="clear" w:pos="851"/>
      </w:tabs>
    </w:pPr>
  </w:style>
  <w:style w:type="paragraph" w:customStyle="1" w:styleId="sub-observation">
    <w:name w:val="sub-observation"/>
    <w:basedOn w:val="sub-proposal"/>
    <w:next w:val="a"/>
    <w:qFormat/>
    <w:rsid w:val="00F83EC7"/>
  </w:style>
  <w:style w:type="paragraph" w:customStyle="1" w:styleId="References">
    <w:name w:val="References"/>
    <w:basedOn w:val="a"/>
    <w:qFormat/>
    <w:rsid w:val="00F83EC7"/>
    <w:pPr>
      <w:numPr>
        <w:numId w:val="5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rsid w:val="00F83EC7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F83EC7"/>
  </w:style>
  <w:style w:type="character" w:customStyle="1" w:styleId="Char2">
    <w:name w:val="页眉 Char"/>
    <w:basedOn w:val="a0"/>
    <w:link w:val="a9"/>
    <w:semiHidden/>
    <w:qFormat/>
    <w:rsid w:val="00F83EC7"/>
    <w:rPr>
      <w:kern w:val="2"/>
      <w:sz w:val="21"/>
    </w:rPr>
  </w:style>
  <w:style w:type="character" w:customStyle="1" w:styleId="Char1">
    <w:name w:val="页脚 Char"/>
    <w:basedOn w:val="a0"/>
    <w:link w:val="a8"/>
    <w:uiPriority w:val="99"/>
    <w:qFormat/>
    <w:rsid w:val="00F83EC7"/>
    <w:rPr>
      <w:kern w:val="2"/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qFormat/>
    <w:rsid w:val="00F83EC7"/>
    <w:rPr>
      <w:rFonts w:ascii="Tahoma" w:hAnsi="Tahoma" w:cs="Tahoma"/>
      <w:kern w:val="2"/>
      <w:sz w:val="16"/>
      <w:szCs w:val="16"/>
    </w:rPr>
  </w:style>
  <w:style w:type="character" w:customStyle="1" w:styleId="Char">
    <w:name w:val="批注文字 Char"/>
    <w:basedOn w:val="a0"/>
    <w:link w:val="a4"/>
    <w:uiPriority w:val="99"/>
    <w:qFormat/>
    <w:rsid w:val="00F83EC7"/>
    <w:rPr>
      <w:kern w:val="2"/>
      <w:sz w:val="21"/>
    </w:rPr>
  </w:style>
  <w:style w:type="character" w:customStyle="1" w:styleId="Char3">
    <w:name w:val="批注主题 Char"/>
    <w:basedOn w:val="Char"/>
    <w:link w:val="ac"/>
    <w:qFormat/>
    <w:rsid w:val="00F83EC7"/>
    <w:rPr>
      <w:kern w:val="2"/>
      <w:sz w:val="21"/>
    </w:rPr>
  </w:style>
  <w:style w:type="paragraph" w:customStyle="1" w:styleId="YJ--">
    <w:name w:val="YJ--正文"/>
    <w:basedOn w:val="a"/>
    <w:qFormat/>
    <w:rsid w:val="00F83EC7"/>
    <w:pPr>
      <w:widowControl w:val="0"/>
      <w:spacing w:before="156" w:after="156" w:line="360" w:lineRule="auto"/>
      <w:ind w:firstLineChars="200" w:firstLine="420"/>
    </w:pPr>
    <w:rPr>
      <w:rFonts w:cs="宋体"/>
    </w:rPr>
  </w:style>
  <w:style w:type="paragraph" w:customStyle="1" w:styleId="B1">
    <w:name w:val="B1"/>
    <w:basedOn w:val="a6"/>
    <w:qFormat/>
    <w:rsid w:val="00F83EC7"/>
  </w:style>
  <w:style w:type="paragraph" w:customStyle="1" w:styleId="B2">
    <w:name w:val="B2"/>
    <w:basedOn w:val="20"/>
    <w:qFormat/>
    <w:rsid w:val="00F83EC7"/>
  </w:style>
  <w:style w:type="character" w:styleId="af3">
    <w:name w:val="Placeholder Text"/>
    <w:basedOn w:val="a0"/>
    <w:uiPriority w:val="99"/>
    <w:unhideWhenUsed/>
    <w:qFormat/>
    <w:rsid w:val="00F83EC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7</Pages>
  <Words>1629</Words>
  <Characters>9290</Characters>
  <Application>Microsoft Office Word</Application>
  <DocSecurity>0</DocSecurity>
  <Lines>77</Lines>
  <Paragraphs>21</Paragraphs>
  <ScaleCrop>false</ScaleCrop>
  <Company>www.zte.com.cn</Company>
  <LinksUpToDate>false</LinksUpToDate>
  <CharactersWithSpaces>10898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28</cp:revision>
  <dcterms:created xsi:type="dcterms:W3CDTF">2020-05-14T01:03:00Z</dcterms:created>
  <dcterms:modified xsi:type="dcterms:W3CDTF">2020-05-16T02:00:00Z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